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461D49">
      <w:pPr>
        <w:pStyle w:val="6"/>
        <w:ind w:left="0"/>
        <w:jc w:val="center"/>
        <w:rPr>
          <w:rFonts w:hint="eastAsia" w:ascii="仿宋" w:hAnsi="仿宋" w:eastAsia="仿宋" w:cs="仿宋"/>
          <w:sz w:val="32"/>
          <w:szCs w:val="32"/>
        </w:rPr>
      </w:pPr>
      <w:r>
        <w:rPr>
          <w:rFonts w:hint="eastAsia" w:ascii="仿宋" w:hAnsi="仿宋" w:eastAsia="仿宋" w:cs="仿宋"/>
          <w:b/>
          <w:bCs/>
          <w:sz w:val="36"/>
          <w:szCs w:val="36"/>
        </w:rPr>
        <w:t>竞价须知</w:t>
      </w:r>
    </w:p>
    <w:p w14:paraId="4A21FEC7">
      <w:pPr>
        <w:widowControl/>
        <w:shd w:val="clear" w:color="auto" w:fill="FFFFFF"/>
        <w:spacing w:line="560" w:lineRule="exact"/>
        <w:jc w:val="left"/>
        <w:rPr>
          <w:rFonts w:hint="eastAsia" w:ascii="仿宋" w:hAnsi="仿宋" w:eastAsia="仿宋" w:cs="仿宋"/>
          <w:kern w:val="0"/>
          <w:szCs w:val="32"/>
        </w:rPr>
      </w:pPr>
      <w:r>
        <w:rPr>
          <w:rFonts w:hint="eastAsia" w:ascii="仿宋" w:hAnsi="仿宋" w:eastAsia="仿宋" w:cs="仿宋"/>
          <w:kern w:val="0"/>
          <w:szCs w:val="32"/>
        </w:rPr>
        <w:t xml:space="preserve">   受宁波市雄镇投资集团有限公司委托，根据《中华人民共和国民法典》等有关法律、法规的规定，制定本竞价须知，竞买人应当遵守本须知条款并受其约束。</w:t>
      </w:r>
      <w:r>
        <w:rPr>
          <w:rFonts w:hint="eastAsia" w:ascii="仿宋_GB2312" w:hAnsi="仿宋_GB2312" w:eastAsia="仿宋_GB2312" w:cs="仿宋_GB2312"/>
          <w:szCs w:val="32"/>
        </w:rPr>
        <w:t xml:space="preserve"> </w:t>
      </w:r>
    </w:p>
    <w:p w14:paraId="3E8F28FD">
      <w:pPr>
        <w:widowControl/>
        <w:shd w:val="clear" w:color="auto" w:fill="FFFFFF"/>
        <w:spacing w:line="560" w:lineRule="exact"/>
        <w:ind w:firstLine="643" w:firstLineChars="200"/>
        <w:jc w:val="left"/>
        <w:rPr>
          <w:rFonts w:ascii="仿宋" w:hAnsi="仿宋" w:eastAsia="仿宋" w:cs="仿宋"/>
          <w:kern w:val="0"/>
          <w:szCs w:val="32"/>
        </w:rPr>
      </w:pPr>
      <w:r>
        <w:rPr>
          <w:rFonts w:hint="eastAsia" w:ascii="仿宋" w:hAnsi="仿宋" w:eastAsia="仿宋" w:cs="仿宋"/>
          <w:b/>
          <w:bCs/>
          <w:kern w:val="0"/>
          <w:szCs w:val="32"/>
        </w:rPr>
        <w:t>一、竞价标的</w:t>
      </w:r>
    </w:p>
    <w:p w14:paraId="040B13F1">
      <w:pPr>
        <w:widowControl/>
        <w:shd w:val="clear" w:color="auto" w:fill="FFFFFF"/>
        <w:spacing w:line="560" w:lineRule="exact"/>
        <w:ind w:firstLine="640" w:firstLineChars="200"/>
        <w:rPr>
          <w:rFonts w:ascii="仿宋" w:hAnsi="仿宋" w:eastAsia="仿宋" w:cs="仿宋"/>
          <w:kern w:val="0"/>
          <w:szCs w:val="32"/>
        </w:rPr>
      </w:pPr>
      <w:r>
        <w:rPr>
          <w:rFonts w:hint="eastAsia" w:ascii="仿宋" w:hAnsi="仿宋" w:eastAsia="仿宋" w:cs="仿宋"/>
          <w:kern w:val="0"/>
          <w:szCs w:val="32"/>
        </w:rPr>
        <w:t>镇海区九龙湖镇田顾村、杜夹岙村、中心村9处废弃矿山生态修复治理项目（以下简称“九矿项目”）开采的土石混合料，大小不一，形状不规则，数量</w:t>
      </w:r>
      <w:r>
        <w:rPr>
          <w:rFonts w:hint="eastAsia" w:ascii="仿宋" w:hAnsi="仿宋" w:eastAsia="仿宋" w:cs="仿宋"/>
          <w:color w:val="FF0000"/>
          <w:kern w:val="0"/>
          <w:szCs w:val="32"/>
          <w:lang w:val="en-US" w:eastAsia="zh-CN"/>
        </w:rPr>
        <w:t>约5万</w:t>
      </w:r>
      <w:r>
        <w:rPr>
          <w:rFonts w:hint="eastAsia" w:ascii="仿宋" w:hAnsi="仿宋" w:eastAsia="仿宋" w:cs="仿宋"/>
          <w:kern w:val="0"/>
          <w:szCs w:val="32"/>
        </w:rPr>
        <w:t>吨。</w:t>
      </w:r>
    </w:p>
    <w:p w14:paraId="5ED8B96F">
      <w:pPr>
        <w:widowControl/>
        <w:shd w:val="clear" w:color="auto" w:fill="FFFFFF"/>
        <w:spacing w:line="560" w:lineRule="exact"/>
        <w:ind w:firstLine="640" w:firstLineChars="200"/>
        <w:rPr>
          <w:rFonts w:hint="eastAsia" w:ascii="仿宋" w:hAnsi="仿宋" w:eastAsia="仿宋" w:cs="仿宋"/>
          <w:kern w:val="0"/>
          <w:szCs w:val="32"/>
        </w:rPr>
      </w:pPr>
      <w:r>
        <w:rPr>
          <w:rFonts w:hint="eastAsia" w:ascii="仿宋" w:hAnsi="仿宋" w:eastAsia="仿宋" w:cs="仿宋"/>
          <w:kern w:val="0"/>
          <w:szCs w:val="32"/>
        </w:rPr>
        <w:t>土石混合料数量以实际过磅为准。竞价底价</w:t>
      </w:r>
      <w:r>
        <w:rPr>
          <w:rFonts w:hint="eastAsia" w:ascii="仿宋" w:hAnsi="仿宋" w:eastAsia="仿宋" w:cs="仿宋"/>
          <w:color w:val="FF0000"/>
          <w:kern w:val="0"/>
          <w:szCs w:val="32"/>
          <w:lang w:val="en-US" w:eastAsia="zh-CN"/>
        </w:rPr>
        <w:t>9</w:t>
      </w:r>
      <w:r>
        <w:rPr>
          <w:rFonts w:hint="eastAsia" w:ascii="仿宋" w:hAnsi="仿宋" w:eastAsia="仿宋" w:cs="仿宋"/>
          <w:color w:val="FF0000"/>
          <w:kern w:val="0"/>
          <w:szCs w:val="32"/>
        </w:rPr>
        <w:t>元/吨（含税价）</w:t>
      </w:r>
      <w:r>
        <w:rPr>
          <w:rFonts w:hint="eastAsia" w:ascii="仿宋" w:hAnsi="仿宋" w:eastAsia="仿宋" w:cs="仿宋"/>
          <w:kern w:val="0"/>
          <w:szCs w:val="32"/>
        </w:rPr>
        <w:t>，竞价保证金</w:t>
      </w:r>
      <w:r>
        <w:rPr>
          <w:rFonts w:hint="eastAsia" w:ascii="仿宋" w:hAnsi="仿宋" w:eastAsia="仿宋" w:cs="仿宋"/>
          <w:color w:val="FF0000"/>
          <w:kern w:val="0"/>
          <w:szCs w:val="32"/>
          <w:lang w:val="en-US" w:eastAsia="zh-CN"/>
        </w:rPr>
        <w:t>1</w:t>
      </w:r>
      <w:r>
        <w:rPr>
          <w:rFonts w:hint="eastAsia" w:ascii="仿宋" w:hAnsi="仿宋" w:eastAsia="仿宋" w:cs="仿宋"/>
          <w:color w:val="FF0000"/>
          <w:kern w:val="0"/>
          <w:szCs w:val="32"/>
        </w:rPr>
        <w:t>0万元</w:t>
      </w:r>
      <w:r>
        <w:rPr>
          <w:rFonts w:hint="eastAsia" w:ascii="仿宋" w:hAnsi="仿宋" w:eastAsia="仿宋" w:cs="仿宋"/>
          <w:kern w:val="0"/>
          <w:szCs w:val="32"/>
        </w:rPr>
        <w:t>，加价幅度为0.1元/次/吨。土石混合料装车、运输由买受人负责并承担费用。</w:t>
      </w:r>
    </w:p>
    <w:p w14:paraId="6F8B123D">
      <w:pPr>
        <w:widowControl/>
        <w:shd w:val="clear" w:color="auto" w:fill="FFFFFF"/>
        <w:spacing w:line="560" w:lineRule="exact"/>
        <w:ind w:firstLine="643" w:firstLineChars="200"/>
        <w:jc w:val="left"/>
        <w:rPr>
          <w:rFonts w:hint="eastAsia" w:ascii="仿宋" w:hAnsi="仿宋" w:eastAsia="仿宋" w:cs="仿宋"/>
          <w:b/>
          <w:bCs/>
          <w:kern w:val="0"/>
          <w:szCs w:val="32"/>
        </w:rPr>
      </w:pPr>
      <w:r>
        <w:rPr>
          <w:rFonts w:hint="eastAsia" w:ascii="仿宋" w:hAnsi="仿宋" w:eastAsia="仿宋" w:cs="仿宋"/>
          <w:b/>
          <w:bCs/>
          <w:kern w:val="0"/>
          <w:szCs w:val="32"/>
        </w:rPr>
        <w:t xml:space="preserve">二、竞价标的位置 </w:t>
      </w:r>
    </w:p>
    <w:p w14:paraId="10CBB774">
      <w:pPr>
        <w:widowControl/>
        <w:shd w:val="clear" w:color="auto" w:fill="FFFFFF"/>
        <w:spacing w:line="560" w:lineRule="exact"/>
        <w:ind w:firstLine="640" w:firstLineChars="200"/>
        <w:rPr>
          <w:rFonts w:hint="eastAsia" w:ascii="仿宋" w:hAnsi="仿宋" w:eastAsia="仿宋" w:cs="仿宋"/>
          <w:kern w:val="0"/>
          <w:szCs w:val="32"/>
        </w:rPr>
      </w:pPr>
      <w:r>
        <w:rPr>
          <w:rFonts w:hint="eastAsia" w:ascii="仿宋" w:hAnsi="仿宋" w:eastAsia="仿宋" w:cs="仿宋"/>
          <w:kern w:val="0"/>
          <w:szCs w:val="32"/>
        </w:rPr>
        <w:t>本次竞价标的物位于九矿项目三矿段内，具体位置由宁波市雄镇投资集团有限公司指定（详见附图）。</w:t>
      </w:r>
    </w:p>
    <w:p w14:paraId="7E82D969">
      <w:pPr>
        <w:widowControl/>
        <w:shd w:val="clear" w:color="auto" w:fill="FFFFFF"/>
        <w:spacing w:line="560" w:lineRule="exact"/>
        <w:ind w:firstLine="643" w:firstLineChars="200"/>
        <w:jc w:val="left"/>
        <w:rPr>
          <w:rFonts w:hint="eastAsia" w:ascii="仿宋" w:hAnsi="仿宋" w:eastAsia="仿宋" w:cs="仿宋"/>
          <w:b/>
          <w:bCs/>
          <w:kern w:val="0"/>
          <w:szCs w:val="32"/>
        </w:rPr>
      </w:pPr>
      <w:r>
        <w:rPr>
          <w:rFonts w:hint="eastAsia" w:ascii="仿宋" w:hAnsi="仿宋" w:eastAsia="仿宋" w:cs="仿宋"/>
          <w:b/>
          <w:bCs/>
          <w:kern w:val="0"/>
          <w:szCs w:val="32"/>
        </w:rPr>
        <w:t>三、竞买资格</w:t>
      </w:r>
    </w:p>
    <w:p w14:paraId="138AB369">
      <w:pPr>
        <w:widowControl/>
        <w:shd w:val="clear" w:color="auto" w:fill="FFFFFF"/>
        <w:spacing w:line="560" w:lineRule="atLeas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注册地在宁波市范围内的独立法人资格企业。</w:t>
      </w:r>
    </w:p>
    <w:p w14:paraId="64DC1418">
      <w:pPr>
        <w:widowControl/>
        <w:numPr>
          <w:ilvl w:val="0"/>
          <w:numId w:val="1"/>
        </w:numPr>
        <w:shd w:val="clear" w:color="auto" w:fill="FFFFFF"/>
        <w:spacing w:line="560" w:lineRule="atLeast"/>
        <w:ind w:firstLine="643" w:firstLineChars="200"/>
        <w:jc w:val="left"/>
        <w:rPr>
          <w:rFonts w:hint="eastAsia" w:ascii="仿宋" w:hAnsi="仿宋" w:eastAsia="仿宋" w:cs="仿宋"/>
          <w:kern w:val="0"/>
          <w:szCs w:val="32"/>
        </w:rPr>
      </w:pPr>
      <w:r>
        <w:rPr>
          <w:rFonts w:hint="eastAsia" w:ascii="仿宋" w:hAnsi="仿宋" w:eastAsia="仿宋" w:cs="仿宋"/>
          <w:b/>
          <w:bCs/>
          <w:kern w:val="0"/>
          <w:szCs w:val="32"/>
        </w:rPr>
        <w:t>竞价时间、地点：</w:t>
      </w:r>
      <w:r>
        <w:rPr>
          <w:rFonts w:hint="eastAsia" w:ascii="仿宋" w:hAnsi="仿宋" w:eastAsia="仿宋" w:cs="仿宋"/>
          <w:kern w:val="0"/>
          <w:szCs w:val="32"/>
        </w:rPr>
        <w:t>2026年</w:t>
      </w:r>
      <w:r>
        <w:rPr>
          <w:rFonts w:hint="eastAsia" w:ascii="仿宋" w:hAnsi="仿宋" w:eastAsia="仿宋" w:cs="仿宋"/>
          <w:kern w:val="0"/>
          <w:szCs w:val="32"/>
          <w:lang w:val="en-US" w:eastAsia="zh-CN"/>
        </w:rPr>
        <w:t>6</w:t>
      </w:r>
      <w:r>
        <w:rPr>
          <w:rFonts w:hint="eastAsia" w:ascii="仿宋" w:hAnsi="仿宋" w:eastAsia="仿宋" w:cs="仿宋"/>
          <w:kern w:val="0"/>
          <w:szCs w:val="32"/>
        </w:rPr>
        <w:t>月</w:t>
      </w:r>
      <w:r>
        <w:rPr>
          <w:rFonts w:hint="eastAsia" w:ascii="仿宋" w:hAnsi="仿宋" w:eastAsia="仿宋" w:cs="仿宋"/>
          <w:kern w:val="0"/>
          <w:szCs w:val="32"/>
          <w:lang w:val="en-US" w:eastAsia="zh-CN"/>
        </w:rPr>
        <w:t>17</w:t>
      </w:r>
      <w:r>
        <w:rPr>
          <w:rFonts w:hint="eastAsia" w:ascii="仿宋" w:hAnsi="仿宋" w:eastAsia="仿宋" w:cs="仿宋"/>
          <w:kern w:val="0"/>
          <w:szCs w:val="32"/>
        </w:rPr>
        <w:t>日9:00至11:00止（延时除外）在镇海产权交易电子化平台</w:t>
      </w:r>
      <w:r>
        <w:rPr>
          <w:rFonts w:hint="eastAsia" w:ascii="仿宋" w:hAnsi="仿宋" w:eastAsia="仿宋" w:cs="仿宋"/>
          <w:kern w:val="0"/>
          <w:szCs w:val="32"/>
        </w:rPr>
        <w:fldChar w:fldCharType="begin"/>
      </w:r>
      <w:r>
        <w:rPr>
          <w:rFonts w:hint="eastAsia" w:ascii="仿宋" w:hAnsi="仿宋" w:eastAsia="仿宋" w:cs="仿宋"/>
          <w:kern w:val="0"/>
          <w:szCs w:val="32"/>
        </w:rPr>
        <w:instrText xml:space="preserve"> HYPERLINK "https://218.0.7.247/ZHPRESystem/index.jsp" </w:instrText>
      </w:r>
      <w:r>
        <w:rPr>
          <w:rFonts w:hint="eastAsia" w:ascii="仿宋" w:hAnsi="仿宋" w:eastAsia="仿宋" w:cs="仿宋"/>
          <w:kern w:val="0"/>
          <w:szCs w:val="32"/>
        </w:rPr>
        <w:fldChar w:fldCharType="separate"/>
      </w:r>
      <w:r>
        <w:rPr>
          <w:rStyle w:val="5"/>
          <w:rFonts w:hint="eastAsia" w:ascii="仿宋" w:hAnsi="仿宋" w:eastAsia="仿宋" w:cs="仿宋"/>
          <w:kern w:val="0"/>
          <w:szCs w:val="32"/>
        </w:rPr>
        <w:t>https://218.0.7.247/ZHPRESystem/index.jsp</w:t>
      </w:r>
      <w:r>
        <w:rPr>
          <w:rFonts w:hint="eastAsia" w:ascii="仿宋" w:hAnsi="仿宋" w:eastAsia="仿宋" w:cs="仿宋"/>
          <w:kern w:val="0"/>
          <w:szCs w:val="32"/>
        </w:rPr>
        <w:fldChar w:fldCharType="end"/>
      </w:r>
    </w:p>
    <w:p w14:paraId="192725C9">
      <w:pPr>
        <w:widowControl/>
        <w:numPr>
          <w:ilvl w:val="0"/>
          <w:numId w:val="1"/>
        </w:numPr>
        <w:shd w:val="clear" w:color="auto" w:fill="FFFFFF"/>
        <w:spacing w:line="560" w:lineRule="atLeast"/>
        <w:ind w:firstLine="643" w:firstLineChars="200"/>
        <w:jc w:val="left"/>
        <w:rPr>
          <w:rFonts w:hint="eastAsia" w:ascii="仿宋" w:hAnsi="仿宋" w:eastAsia="仿宋" w:cs="仿宋"/>
          <w:kern w:val="0"/>
          <w:szCs w:val="32"/>
        </w:rPr>
      </w:pPr>
      <w:r>
        <w:rPr>
          <w:rFonts w:hint="eastAsia" w:ascii="仿宋" w:hAnsi="仿宋" w:eastAsia="仿宋" w:cs="仿宋"/>
          <w:b/>
          <w:bCs/>
          <w:kern w:val="0"/>
          <w:szCs w:val="32"/>
        </w:rPr>
        <w:t>竞买人报名登记事宜</w:t>
      </w:r>
    </w:p>
    <w:p w14:paraId="33136319">
      <w:pPr>
        <w:pStyle w:val="2"/>
        <w:spacing w:line="560" w:lineRule="atLeast"/>
        <w:ind w:firstLine="420"/>
        <w:rPr>
          <w:rFonts w:ascii="仿宋" w:hAnsi="仿宋" w:eastAsia="仿宋" w:cs="仿宋"/>
          <w:sz w:val="32"/>
          <w:szCs w:val="32"/>
        </w:rPr>
      </w:pPr>
      <w:r>
        <w:rPr>
          <w:rFonts w:ascii="仿宋" w:hAnsi="仿宋" w:eastAsia="仿宋" w:cs="仿宋"/>
          <w:sz w:val="32"/>
          <w:szCs w:val="32"/>
        </w:rPr>
        <w:t>竞买人应于2026年</w:t>
      </w:r>
      <w:r>
        <w:rPr>
          <w:rFonts w:hint="eastAsia" w:ascii="仿宋" w:hAnsi="仿宋" w:eastAsia="仿宋" w:cs="仿宋"/>
          <w:sz w:val="32"/>
          <w:szCs w:val="32"/>
          <w:lang w:val="en-US" w:eastAsia="zh-CN"/>
        </w:rPr>
        <w:t>6</w:t>
      </w:r>
      <w:r>
        <w:rPr>
          <w:rFonts w:ascii="仿宋" w:hAnsi="仿宋" w:eastAsia="仿宋" w:cs="仿宋"/>
          <w:sz w:val="32"/>
          <w:szCs w:val="32"/>
        </w:rPr>
        <w:t>月</w:t>
      </w:r>
      <w:r>
        <w:rPr>
          <w:rFonts w:hint="eastAsia" w:ascii="仿宋" w:hAnsi="仿宋" w:eastAsia="仿宋" w:cs="仿宋"/>
          <w:sz w:val="32"/>
          <w:szCs w:val="32"/>
          <w:lang w:val="en-US" w:eastAsia="zh-CN"/>
        </w:rPr>
        <w:t>16</w:t>
      </w:r>
      <w:r>
        <w:rPr>
          <w:rFonts w:ascii="仿宋" w:hAnsi="仿宋" w:eastAsia="仿宋" w:cs="仿宋"/>
          <w:sz w:val="32"/>
          <w:szCs w:val="32"/>
        </w:rPr>
        <w:t>日16时前登陆镇海产权交易电子化平台https://218.0.7.247/ZHPRESystem/index.jsp完成注册报名，交付竞价保证金并绑定对应标的。</w:t>
      </w:r>
    </w:p>
    <w:p w14:paraId="50A7CF77">
      <w:pPr>
        <w:widowControl/>
        <w:numPr>
          <w:ilvl w:val="0"/>
          <w:numId w:val="2"/>
        </w:numPr>
        <w:shd w:val="clear" w:color="auto" w:fill="FFFFFF"/>
        <w:spacing w:line="560" w:lineRule="atLeast"/>
        <w:ind w:firstLine="643" w:firstLineChars="200"/>
        <w:jc w:val="left"/>
        <w:rPr>
          <w:rFonts w:hint="eastAsia" w:ascii="仿宋" w:hAnsi="仿宋" w:eastAsia="仿宋" w:cs="仿宋"/>
          <w:b/>
          <w:bCs/>
          <w:kern w:val="0"/>
          <w:szCs w:val="32"/>
        </w:rPr>
      </w:pPr>
      <w:r>
        <w:rPr>
          <w:rFonts w:hint="eastAsia" w:ascii="仿宋" w:hAnsi="仿宋" w:eastAsia="仿宋" w:cs="仿宋"/>
          <w:b/>
          <w:bCs/>
          <w:kern w:val="0"/>
          <w:szCs w:val="32"/>
        </w:rPr>
        <w:t>竞价保证金</w:t>
      </w:r>
    </w:p>
    <w:p w14:paraId="04BAF24A">
      <w:pPr>
        <w:pStyle w:val="2"/>
        <w:spacing w:line="560" w:lineRule="atLeast"/>
        <w:ind w:firstLine="420"/>
        <w:rPr>
          <w:rFonts w:ascii="仿宋" w:hAnsi="仿宋" w:eastAsia="仿宋" w:cs="仿宋"/>
          <w:sz w:val="32"/>
          <w:szCs w:val="32"/>
        </w:rPr>
      </w:pPr>
      <w:r>
        <w:rPr>
          <w:rFonts w:ascii="仿宋" w:hAnsi="仿宋" w:eastAsia="仿宋" w:cs="仿宋"/>
          <w:sz w:val="32"/>
          <w:szCs w:val="32"/>
        </w:rPr>
        <w:t>本次竞价保证金为</w:t>
      </w:r>
      <w:r>
        <w:rPr>
          <w:rFonts w:hint="eastAsia" w:ascii="仿宋" w:hAnsi="仿宋" w:eastAsia="仿宋" w:cs="仿宋"/>
          <w:color w:val="FF0000"/>
          <w:sz w:val="32"/>
          <w:szCs w:val="32"/>
          <w:lang w:val="en-US" w:eastAsia="zh-CN"/>
        </w:rPr>
        <w:t>10</w:t>
      </w:r>
      <w:r>
        <w:rPr>
          <w:rFonts w:ascii="仿宋" w:hAnsi="仿宋" w:eastAsia="仿宋" w:cs="仿宋"/>
          <w:color w:val="FF0000"/>
          <w:sz w:val="32"/>
          <w:szCs w:val="32"/>
        </w:rPr>
        <w:t>万元</w:t>
      </w:r>
      <w:r>
        <w:rPr>
          <w:rFonts w:ascii="仿宋" w:hAnsi="仿宋" w:eastAsia="仿宋" w:cs="仿宋"/>
          <w:sz w:val="32"/>
          <w:szCs w:val="32"/>
        </w:rPr>
        <w:t>，竞买人登录镇海产权交易电子化平台https://218.0.7.247/ZHPRESystem/index.jsp完成注册报名，交付竞价保证金并绑定对应标的。竞价保证金汇入指定账户户名(宁波市镇海产权服务中心有限公司，开户银行：宁波银行股份有限公司镇海支行，账号：52010122001150460)。</w:t>
      </w:r>
    </w:p>
    <w:p w14:paraId="718184FE">
      <w:pPr>
        <w:keepNext w:val="0"/>
        <w:keepLines w:val="0"/>
        <w:widowControl/>
        <w:suppressLineNumbers w:val="0"/>
        <w:ind w:firstLine="320" w:firstLineChars="100"/>
        <w:jc w:val="left"/>
        <w:rPr>
          <w:rFonts w:hint="default" w:ascii="仿宋" w:hAnsi="仿宋" w:eastAsia="仿宋" w:cs="仿宋"/>
          <w:color w:val="FF0000"/>
          <w:kern w:val="0"/>
          <w:szCs w:val="32"/>
          <w:lang w:val="en-US"/>
        </w:rPr>
      </w:pPr>
      <w:r>
        <w:rPr>
          <w:rFonts w:hint="eastAsia" w:ascii="仿宋" w:hAnsi="仿宋" w:eastAsia="仿宋" w:cs="仿宋"/>
          <w:kern w:val="0"/>
          <w:szCs w:val="32"/>
        </w:rPr>
        <w:t>如未竞买成功，则竞买人在竞价结束后办理竞价保证金退还手续，保证金不计息退还。买受人的竞价保证金不抵作预付货款、履约保证金，买受人在完成竞价服务费、履约保证金及第一期预付货款</w:t>
      </w:r>
      <w:r>
        <w:rPr>
          <w:rFonts w:hint="eastAsia" w:ascii="仿宋" w:hAnsi="仿宋" w:eastAsia="仿宋" w:cs="仿宋"/>
          <w:color w:val="FF0000"/>
          <w:kern w:val="0"/>
          <w:szCs w:val="32"/>
        </w:rPr>
        <w:t>（成交单价*竞价标的数量</w:t>
      </w:r>
      <w:r>
        <w:rPr>
          <w:rFonts w:hint="eastAsia" w:ascii="仿宋" w:hAnsi="仿宋" w:eastAsia="仿宋" w:cs="仿宋"/>
          <w:color w:val="FF0000"/>
          <w:kern w:val="0"/>
          <w:szCs w:val="32"/>
          <w:lang w:val="en-US" w:eastAsia="zh-CN"/>
        </w:rPr>
        <w:t>约5万</w:t>
      </w:r>
      <w:r>
        <w:rPr>
          <w:rFonts w:hint="eastAsia" w:ascii="仿宋" w:hAnsi="仿宋" w:eastAsia="仿宋" w:cs="仿宋"/>
          <w:color w:val="FF0000"/>
          <w:kern w:val="0"/>
          <w:sz w:val="32"/>
          <w:szCs w:val="32"/>
          <w:lang w:val="en-US" w:eastAsia="zh-CN" w:bidi="ar-SA"/>
        </w:rPr>
        <w:t>吨)</w:t>
      </w:r>
    </w:p>
    <w:p w14:paraId="65CEB634">
      <w:pPr>
        <w:widowControl/>
        <w:shd w:val="clear" w:color="auto" w:fill="FFFFFF"/>
        <w:spacing w:line="560" w:lineRule="atLeast"/>
        <w:ind w:firstLine="0" w:firstLineChars="0"/>
        <w:jc w:val="left"/>
        <w:rPr>
          <w:rFonts w:hint="eastAsia"/>
        </w:rPr>
      </w:pPr>
      <w:r>
        <w:rPr>
          <w:rFonts w:hint="eastAsia" w:ascii="仿宋" w:hAnsi="仿宋" w:eastAsia="仿宋" w:cs="仿宋"/>
          <w:kern w:val="0"/>
          <w:szCs w:val="32"/>
        </w:rPr>
        <w:t>缴纳并签订《销售协议》后方可办理竞价保证金退还手续，保证金不计息退还。</w:t>
      </w:r>
    </w:p>
    <w:p w14:paraId="053C816A">
      <w:pPr>
        <w:widowControl/>
        <w:shd w:val="clear" w:color="auto" w:fill="FFFFFF"/>
        <w:spacing w:line="560" w:lineRule="exact"/>
        <w:ind w:firstLine="643" w:firstLineChars="200"/>
        <w:jc w:val="left"/>
        <w:rPr>
          <w:rFonts w:hint="eastAsia" w:ascii="仿宋" w:hAnsi="仿宋" w:eastAsia="仿宋" w:cs="仿宋"/>
          <w:kern w:val="0"/>
          <w:szCs w:val="32"/>
        </w:rPr>
      </w:pPr>
      <w:r>
        <w:rPr>
          <w:rFonts w:hint="eastAsia" w:ascii="仿宋" w:hAnsi="仿宋" w:eastAsia="仿宋" w:cs="仿宋"/>
          <w:b/>
          <w:bCs/>
          <w:kern w:val="0"/>
          <w:szCs w:val="32"/>
        </w:rPr>
        <w:t>七、履约保证金</w:t>
      </w:r>
    </w:p>
    <w:p w14:paraId="6A3AE338">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color w:val="FF0000"/>
          <w:kern w:val="0"/>
          <w:szCs w:val="32"/>
        </w:rPr>
        <w:t>履约保证金为</w:t>
      </w:r>
      <w:r>
        <w:rPr>
          <w:rFonts w:hint="eastAsia" w:ascii="仿宋" w:hAnsi="仿宋" w:eastAsia="仿宋" w:cs="仿宋"/>
          <w:color w:val="FF0000"/>
          <w:szCs w:val="32"/>
        </w:rPr>
        <w:t>土石混合料</w:t>
      </w:r>
      <w:r>
        <w:rPr>
          <w:rFonts w:hint="eastAsia" w:ascii="仿宋" w:hAnsi="仿宋" w:eastAsia="仿宋" w:cs="仿宋"/>
          <w:color w:val="FF0000"/>
          <w:kern w:val="0"/>
          <w:szCs w:val="32"/>
          <w:lang w:bidi="ar"/>
        </w:rPr>
        <w:t>成交</w:t>
      </w:r>
      <w:r>
        <w:rPr>
          <w:rFonts w:hint="eastAsia" w:ascii="仿宋" w:hAnsi="仿宋" w:eastAsia="仿宋" w:cs="仿宋"/>
          <w:color w:val="FF0000"/>
          <w:szCs w:val="32"/>
        </w:rPr>
        <w:t>总价（成交单价*竞价标的数量</w:t>
      </w:r>
      <w:r>
        <w:rPr>
          <w:rFonts w:hint="eastAsia" w:ascii="仿宋" w:hAnsi="仿宋" w:eastAsia="仿宋" w:cs="仿宋"/>
          <w:color w:val="FF0000"/>
          <w:kern w:val="0"/>
          <w:szCs w:val="32"/>
          <w:lang w:val="en-US" w:eastAsia="zh-CN"/>
        </w:rPr>
        <w:t>约5万</w:t>
      </w:r>
      <w:r>
        <w:rPr>
          <w:rFonts w:hint="eastAsia" w:ascii="仿宋" w:hAnsi="仿宋" w:eastAsia="仿宋" w:cs="仿宋"/>
          <w:color w:val="FF0000"/>
          <w:kern w:val="0"/>
          <w:sz w:val="32"/>
          <w:szCs w:val="32"/>
          <w:lang w:val="en-US" w:eastAsia="zh-CN" w:bidi="ar-SA"/>
        </w:rPr>
        <w:t>吨</w:t>
      </w:r>
      <w:r>
        <w:rPr>
          <w:rFonts w:hint="eastAsia" w:ascii="仿宋" w:hAnsi="仿宋" w:eastAsia="仿宋" w:cs="仿宋"/>
          <w:color w:val="FF0000"/>
          <w:szCs w:val="32"/>
        </w:rPr>
        <w:t>）的25%。</w:t>
      </w:r>
      <w:r>
        <w:rPr>
          <w:rFonts w:hint="eastAsia" w:ascii="仿宋" w:hAnsi="仿宋" w:eastAsia="仿宋" w:cs="仿宋"/>
          <w:kern w:val="0"/>
          <w:szCs w:val="32"/>
        </w:rPr>
        <w:t>买受人于成交之日起5个工作日内将履约保证金付至委托人指定账户（</w:t>
      </w:r>
      <w:r>
        <w:rPr>
          <w:rFonts w:hint="eastAsia" w:ascii="黑体" w:hAnsi="黑体" w:eastAsia="黑体" w:cs="黑体"/>
          <w:b/>
          <w:bCs/>
          <w:kern w:val="0"/>
          <w:szCs w:val="32"/>
        </w:rPr>
        <w:t>户名：宁波市雄镇投资集团有限公司，账号：33101984036050512833，开户行：建行镇海支行，</w:t>
      </w:r>
      <w:r>
        <w:rPr>
          <w:rFonts w:hint="eastAsia" w:ascii="仿宋" w:hAnsi="仿宋" w:eastAsia="仿宋" w:cs="仿宋"/>
          <w:kern w:val="0"/>
          <w:szCs w:val="32"/>
        </w:rPr>
        <w:t>以实际到账为准），履约保证金全额到账后方可签订《销售协议》。</w:t>
      </w:r>
    </w:p>
    <w:p w14:paraId="64A7ED3B">
      <w:pPr>
        <w:widowControl/>
        <w:shd w:val="clear" w:color="auto" w:fill="FFFFFF"/>
        <w:spacing w:line="560" w:lineRule="exact"/>
        <w:ind w:firstLine="640" w:firstLineChars="200"/>
        <w:rPr>
          <w:rFonts w:hint="eastAsia" w:ascii="仿宋" w:hAnsi="仿宋" w:eastAsia="仿宋" w:cs="仿宋"/>
          <w:kern w:val="0"/>
          <w:szCs w:val="32"/>
        </w:rPr>
      </w:pPr>
      <w:r>
        <w:rPr>
          <w:rFonts w:hint="eastAsia" w:ascii="仿宋" w:hAnsi="仿宋" w:eastAsia="仿宋" w:cs="仿宋"/>
          <w:kern w:val="0"/>
          <w:szCs w:val="32"/>
        </w:rPr>
        <w:t>买受人付清全部货款且完成土石混合料结算办理、退还土石混合料剩余预付货款后，在无相关纠纷并经委托人验收符合要求后，方可不计息退还。</w:t>
      </w:r>
    </w:p>
    <w:p w14:paraId="7187C4C0">
      <w:pPr>
        <w:widowControl/>
        <w:shd w:val="clear" w:color="auto" w:fill="FFFFFF"/>
        <w:spacing w:line="560" w:lineRule="exact"/>
        <w:ind w:firstLine="643" w:firstLineChars="200"/>
        <w:jc w:val="left"/>
        <w:rPr>
          <w:rFonts w:hint="eastAsia" w:ascii="仿宋" w:hAnsi="仿宋" w:eastAsia="仿宋" w:cs="仿宋"/>
          <w:b/>
          <w:bCs/>
          <w:kern w:val="0"/>
          <w:szCs w:val="32"/>
        </w:rPr>
      </w:pPr>
      <w:r>
        <w:rPr>
          <w:rFonts w:hint="eastAsia" w:ascii="仿宋" w:hAnsi="仿宋" w:eastAsia="仿宋" w:cs="仿宋"/>
          <w:b/>
          <w:bCs/>
          <w:kern w:val="0"/>
          <w:szCs w:val="32"/>
        </w:rPr>
        <w:t>八、成交款及竞价服务费支付</w:t>
      </w:r>
    </w:p>
    <w:p w14:paraId="01EA86F7">
      <w:pPr>
        <w:widowControl/>
        <w:shd w:val="clear" w:color="auto" w:fill="FFFFFF"/>
        <w:spacing w:line="560" w:lineRule="exact"/>
        <w:ind w:firstLine="640" w:firstLineChars="200"/>
        <w:rPr>
          <w:rFonts w:hint="eastAsia" w:ascii="仿宋" w:hAnsi="仿宋" w:eastAsia="仿宋" w:cs="仿宋"/>
          <w:kern w:val="0"/>
          <w:szCs w:val="32"/>
        </w:rPr>
      </w:pPr>
      <w:r>
        <w:rPr>
          <w:rFonts w:hint="eastAsia" w:ascii="仿宋" w:hAnsi="仿宋" w:eastAsia="仿宋" w:cs="仿宋"/>
          <w:kern w:val="0"/>
          <w:szCs w:val="32"/>
        </w:rPr>
        <w:t>买受人竞买成功后，于竞价成交当日到本公司签署《竞价成交确认书》等有关文书，竞价成交后5个工作日内买受人一次性付清预付货款。先付后运，预付货款不计息，以上均需转账支付（人民币）。预付货款指定收款账户</w:t>
      </w:r>
      <w:r>
        <w:rPr>
          <w:rFonts w:hint="eastAsia" w:ascii="黑体" w:hAnsi="黑体" w:eastAsia="黑体" w:cs="黑体"/>
          <w:kern w:val="0"/>
          <w:szCs w:val="32"/>
        </w:rPr>
        <w:t>（</w:t>
      </w:r>
      <w:r>
        <w:rPr>
          <w:rFonts w:hint="eastAsia" w:ascii="黑体" w:hAnsi="黑体" w:eastAsia="黑体" w:cs="黑体"/>
          <w:b/>
          <w:bCs/>
          <w:kern w:val="0"/>
          <w:szCs w:val="32"/>
        </w:rPr>
        <w:t>户名：宁波市雄镇投资集团有限公司，账号：33101984036050512833，开户行：建行镇海支行</w:t>
      </w:r>
      <w:r>
        <w:rPr>
          <w:rFonts w:hint="eastAsia" w:ascii="黑体" w:hAnsi="黑体" w:eastAsia="黑体" w:cs="黑体"/>
          <w:kern w:val="0"/>
          <w:szCs w:val="32"/>
        </w:rPr>
        <w:t>）</w:t>
      </w:r>
      <w:r>
        <w:rPr>
          <w:rFonts w:hint="eastAsia" w:ascii="仿宋" w:hAnsi="仿宋" w:eastAsia="仿宋" w:cs="仿宋"/>
          <w:kern w:val="0"/>
          <w:szCs w:val="32"/>
        </w:rPr>
        <w:t>。</w:t>
      </w:r>
    </w:p>
    <w:p w14:paraId="1166F5EC">
      <w:pPr>
        <w:widowControl/>
        <w:shd w:val="clear" w:color="auto" w:fill="FFFFFF"/>
        <w:spacing w:line="560" w:lineRule="exact"/>
        <w:ind w:firstLine="640" w:firstLineChars="200"/>
        <w:rPr>
          <w:rFonts w:hint="eastAsia" w:ascii="黑体" w:hAnsi="黑体" w:eastAsia="黑体" w:cs="黑体"/>
          <w:b/>
          <w:bCs/>
          <w:kern w:val="0"/>
          <w:szCs w:val="32"/>
        </w:rPr>
      </w:pPr>
      <w:r>
        <w:rPr>
          <w:rFonts w:hint="eastAsia" w:ascii="仿宋" w:hAnsi="仿宋" w:eastAsia="仿宋" w:cs="仿宋"/>
          <w:color w:val="FF0000"/>
          <w:kern w:val="0"/>
          <w:szCs w:val="32"/>
        </w:rPr>
        <w:t>买受人须在成交之日起【5】个工作日内一次性向宁波市镇海产权服务中心有限公司支付竞价服务费1.5万元。</w:t>
      </w:r>
      <w:r>
        <w:rPr>
          <w:rFonts w:hint="eastAsia" w:ascii="仿宋" w:hAnsi="仿宋" w:eastAsia="仿宋" w:cs="仿宋"/>
          <w:kern w:val="0"/>
          <w:szCs w:val="32"/>
        </w:rPr>
        <w:t>竞价服务费指定收款账户</w:t>
      </w:r>
      <w:r>
        <w:rPr>
          <w:rFonts w:hint="eastAsia" w:ascii="黑体" w:hAnsi="黑体" w:eastAsia="黑体" w:cs="黑体"/>
          <w:b/>
          <w:bCs/>
          <w:kern w:val="0"/>
          <w:szCs w:val="32"/>
        </w:rPr>
        <w:t xml:space="preserve">（户名：宁波市镇海产权服务中心有限公司，开户行：宁波银行股份有限公司镇海支行，账号：52010122001150460）。 </w:t>
      </w:r>
    </w:p>
    <w:p w14:paraId="55385E97">
      <w:pPr>
        <w:widowControl/>
        <w:shd w:val="clear" w:color="auto" w:fill="FFFFFF"/>
        <w:spacing w:line="560" w:lineRule="exact"/>
        <w:ind w:firstLine="643" w:firstLineChars="200"/>
        <w:jc w:val="left"/>
        <w:rPr>
          <w:rFonts w:ascii="仿宋" w:hAnsi="仿宋" w:eastAsia="仿宋" w:cs="仿宋"/>
          <w:b/>
          <w:bCs/>
          <w:kern w:val="0"/>
          <w:szCs w:val="32"/>
        </w:rPr>
      </w:pPr>
      <w:r>
        <w:rPr>
          <w:rFonts w:hint="eastAsia" w:ascii="仿宋" w:hAnsi="仿宋" w:eastAsia="仿宋" w:cs="仿宋"/>
          <w:b/>
          <w:bCs/>
          <w:kern w:val="0"/>
          <w:szCs w:val="32"/>
        </w:rPr>
        <w:t xml:space="preserve">九、标的交付  </w:t>
      </w:r>
    </w:p>
    <w:p w14:paraId="5227191A">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1、买受人在竞价成交之后5个工作日内付清履约保证金、全部预付货款及竞价服务费后办理交割手续，由委托人交付给买受人。凭本公司出具的《竞价成交确认书》，与委托人签订《销售协议》，办理移交手续。移交地点详见竞价标的位置；逾期交接和搬运而产生的责任由买受人自行承担。</w:t>
      </w:r>
    </w:p>
    <w:p w14:paraId="7D7BFA44">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color w:val="FF0000"/>
          <w:kern w:val="0"/>
          <w:szCs w:val="32"/>
        </w:rPr>
        <w:t>2、买受人必须无条件按委托人下发的《周计划》提货，若未及时装货则视为买受人违约，并承担相应违约责任。逾期一天从履约保证金中扣除5000元，累计逾期超过10天的，委托人有权单方面终止协议。提货截止时间为2026年</w:t>
      </w:r>
      <w:r>
        <w:rPr>
          <w:rFonts w:hint="eastAsia" w:ascii="仿宋" w:hAnsi="仿宋" w:eastAsia="仿宋" w:cs="仿宋"/>
          <w:color w:val="FF0000"/>
          <w:kern w:val="0"/>
          <w:szCs w:val="32"/>
          <w:highlight w:val="none"/>
          <w:lang w:val="en-US" w:eastAsia="zh-CN"/>
        </w:rPr>
        <w:t>8月15日</w:t>
      </w:r>
      <w:r>
        <w:rPr>
          <w:rFonts w:hint="eastAsia" w:ascii="仿宋" w:hAnsi="仿宋" w:eastAsia="仿宋" w:cs="仿宋"/>
          <w:color w:val="FF0000"/>
          <w:kern w:val="0"/>
          <w:szCs w:val="32"/>
          <w:highlight w:val="none"/>
        </w:rPr>
        <w:t>，到期后，销售协议自动终止，若买受人未按约定完</w:t>
      </w:r>
      <w:r>
        <w:rPr>
          <w:rFonts w:hint="eastAsia" w:ascii="仿宋" w:hAnsi="仿宋" w:eastAsia="仿宋" w:cs="仿宋"/>
          <w:color w:val="FF0000"/>
          <w:kern w:val="0"/>
          <w:szCs w:val="32"/>
        </w:rPr>
        <w:t>成提货，则扣除全部履约保证金。剩余的土石混合</w:t>
      </w:r>
      <w:bookmarkStart w:id="0" w:name="_GoBack"/>
      <w:bookmarkEnd w:id="0"/>
      <w:r>
        <w:rPr>
          <w:rFonts w:hint="eastAsia" w:ascii="仿宋" w:hAnsi="仿宋" w:eastAsia="仿宋" w:cs="仿宋"/>
          <w:color w:val="FF0000"/>
          <w:kern w:val="0"/>
          <w:szCs w:val="32"/>
        </w:rPr>
        <w:t>料由委托人收回，重新处置，并且买受人不得参与。买受人在收到协议终止通知后（通知签收之日或快递送达之日起算）10日内与委托人办理土石混合料预付货款已销售部分货款的结算以及剩余货款退还手续。</w:t>
      </w:r>
    </w:p>
    <w:p w14:paraId="742631C4">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3、买受人接收地点为委托人指定场地内。从成交之日起，买受人不得以标的物存在瑕疵为由要求委托人承担赔偿责任，买受人必须无条件全部接收。在提货过程中买受人进入施工区域提货必须固定运输车辆，服从现场相关管理制度，车辆停放不得影响现场施工；买受人从指定堆放场地至其他地方的运输、搬运所涉的费用均由其自行承担，相关手续由买受人自行到相关部门办理。运输车辆须符合当地交警、运管等部门和属地政府的相关管理规定，合理安排运输车辆。</w:t>
      </w:r>
    </w:p>
    <w:p w14:paraId="0F1476E4">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4、在竞价标的移交和搬运过程中，所产生的装车费、运输费、文明施工费等费用均由买受人承担，并由买受人自行承担搬运、运输等过程中可能发生的状况和风险。</w:t>
      </w:r>
    </w:p>
    <w:p w14:paraId="13E3B0C5">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5、竞价标的物移交后，竞价标的物的保管责任由买受人承担；买受人因未在规定时间内交接或逾期交接竞价标的物而可能产生的标的物缺失或损坏的风险由买受人自行承担。</w:t>
      </w:r>
    </w:p>
    <w:p w14:paraId="089AD117">
      <w:pPr>
        <w:widowControl/>
        <w:shd w:val="clear" w:color="auto" w:fill="FFFFFF"/>
        <w:spacing w:line="560" w:lineRule="exact"/>
        <w:ind w:firstLine="643" w:firstLineChars="200"/>
        <w:jc w:val="left"/>
        <w:rPr>
          <w:rFonts w:hint="eastAsia" w:ascii="仿宋" w:hAnsi="仿宋" w:eastAsia="仿宋" w:cs="仿宋"/>
          <w:kern w:val="0"/>
          <w:szCs w:val="32"/>
        </w:rPr>
      </w:pPr>
      <w:r>
        <w:rPr>
          <w:rFonts w:hint="eastAsia" w:ascii="仿宋" w:hAnsi="仿宋" w:eastAsia="仿宋" w:cs="仿宋"/>
          <w:b/>
          <w:bCs/>
          <w:kern w:val="0"/>
          <w:szCs w:val="32"/>
        </w:rPr>
        <w:t>6、提货周期：按照委托人下发的《周计划》提货，提货截止日期为</w:t>
      </w:r>
      <w:r>
        <w:rPr>
          <w:rFonts w:hint="eastAsia" w:ascii="仿宋" w:hAnsi="仿宋" w:eastAsia="仿宋" w:cs="仿宋"/>
          <w:b/>
          <w:bCs/>
          <w:color w:val="FF0000"/>
          <w:kern w:val="0"/>
          <w:szCs w:val="32"/>
          <w:highlight w:val="yellow"/>
        </w:rPr>
        <w:t>2026年</w:t>
      </w:r>
      <w:r>
        <w:rPr>
          <w:rFonts w:hint="eastAsia" w:ascii="仿宋" w:hAnsi="仿宋" w:eastAsia="仿宋" w:cs="仿宋"/>
          <w:b/>
          <w:bCs/>
          <w:color w:val="FF0000"/>
          <w:kern w:val="0"/>
          <w:szCs w:val="32"/>
          <w:highlight w:val="yellow"/>
          <w:lang w:val="en-US" w:eastAsia="zh-CN"/>
        </w:rPr>
        <w:t>8</w:t>
      </w:r>
      <w:r>
        <w:rPr>
          <w:rFonts w:hint="eastAsia" w:ascii="仿宋" w:hAnsi="仿宋" w:eastAsia="仿宋" w:cs="仿宋"/>
          <w:b/>
          <w:bCs/>
          <w:color w:val="FF0000"/>
          <w:kern w:val="0"/>
          <w:szCs w:val="32"/>
          <w:highlight w:val="yellow"/>
        </w:rPr>
        <w:t>月</w:t>
      </w:r>
      <w:r>
        <w:rPr>
          <w:rFonts w:hint="eastAsia" w:ascii="仿宋" w:hAnsi="仿宋" w:eastAsia="仿宋" w:cs="仿宋"/>
          <w:b/>
          <w:bCs/>
          <w:color w:val="FF0000"/>
          <w:kern w:val="0"/>
          <w:szCs w:val="32"/>
          <w:highlight w:val="yellow"/>
          <w:lang w:val="en-US" w:eastAsia="zh-CN"/>
        </w:rPr>
        <w:t>15</w:t>
      </w:r>
      <w:r>
        <w:rPr>
          <w:rFonts w:hint="eastAsia" w:ascii="仿宋" w:hAnsi="仿宋" w:eastAsia="仿宋" w:cs="仿宋"/>
          <w:b/>
          <w:bCs/>
          <w:color w:val="FF0000"/>
          <w:kern w:val="0"/>
          <w:szCs w:val="32"/>
          <w:highlight w:val="yellow"/>
        </w:rPr>
        <w:t>日</w:t>
      </w:r>
      <w:r>
        <w:rPr>
          <w:rFonts w:hint="eastAsia" w:ascii="仿宋" w:hAnsi="仿宋" w:eastAsia="仿宋" w:cs="仿宋"/>
          <w:b/>
          <w:bCs/>
          <w:kern w:val="0"/>
          <w:szCs w:val="32"/>
        </w:rPr>
        <w:t>。</w:t>
      </w:r>
    </w:p>
    <w:p w14:paraId="662C1C24">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7、以上未明确的相关事宜，双方如有争议，以委托人的解释为准。</w:t>
      </w:r>
    </w:p>
    <w:p w14:paraId="74CCEA3C">
      <w:pPr>
        <w:widowControl/>
        <w:shd w:val="clear" w:color="auto" w:fill="FFFFFF"/>
        <w:spacing w:line="560" w:lineRule="exact"/>
        <w:ind w:firstLine="643" w:firstLineChars="200"/>
        <w:jc w:val="left"/>
        <w:rPr>
          <w:rFonts w:hint="eastAsia" w:ascii="仿宋" w:hAnsi="仿宋" w:eastAsia="仿宋" w:cs="仿宋"/>
          <w:b/>
          <w:bCs/>
          <w:kern w:val="0"/>
          <w:szCs w:val="32"/>
        </w:rPr>
      </w:pPr>
      <w:r>
        <w:rPr>
          <w:rFonts w:hint="eastAsia" w:ascii="仿宋" w:hAnsi="仿宋" w:eastAsia="仿宋" w:cs="仿宋"/>
          <w:b/>
          <w:bCs/>
          <w:kern w:val="0"/>
          <w:szCs w:val="32"/>
        </w:rPr>
        <w:t>十、特别约定和说明</w:t>
      </w:r>
    </w:p>
    <w:p w14:paraId="2269A23B">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1、本次竞价只确定竞价标的的成交单价和买受人。</w:t>
      </w:r>
    </w:p>
    <w:p w14:paraId="2EE7914C">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2、本次竞价标的仅限由委托人开采出来的镇海区九龙湖镇田顾村、杜夹岙村、中心村9处废弃矿山生态修复治理项目，看样请联系委托人或本公司。竞买人在竞价前自行判断竞价标的的情况。数量与品种、质地等以标的物的现状为准，竞买人在实地看样时须认真仔细对竞价标的物的价值进行正确估计，本公司及委托人对其市场价值、使用价值、品质好坏、数量的缺失均不作保证。委托人和本公司不承担标的物现状中的任何瑕疵担保责任，竞买人未看样的责任自负。</w:t>
      </w:r>
    </w:p>
    <w:p w14:paraId="04068133">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3、本次竞价仅以标的物现状进行竞价，成交单价不以标的数量、品质以及齐全性、使用性等差异而作退补。</w:t>
      </w:r>
    </w:p>
    <w:p w14:paraId="7527FB5C">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4、安全施工及责任：买受人在运输竞价标的过程中须按国家有关规定妥善组织施工，并进行必要的防护；在运输等过程中若出现安全事故均由买受人自行负责解决，与本公司、委托人无涉。</w:t>
      </w:r>
    </w:p>
    <w:p w14:paraId="46E4AE11">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5、买受人提货作业必须在委托人监管人员在场时进行。</w:t>
      </w:r>
    </w:p>
    <w:p w14:paraId="203C9A12">
      <w:pPr>
        <w:widowControl/>
        <w:shd w:val="clear" w:color="auto" w:fill="FFFFFF"/>
        <w:spacing w:line="560" w:lineRule="exact"/>
        <w:ind w:firstLine="640"/>
        <w:jc w:val="left"/>
        <w:rPr>
          <w:rFonts w:hint="eastAsia" w:ascii="仿宋" w:hAnsi="仿宋" w:eastAsia="仿宋" w:cs="仿宋"/>
          <w:kern w:val="0"/>
          <w:szCs w:val="32"/>
        </w:rPr>
      </w:pPr>
      <w:r>
        <w:rPr>
          <w:rFonts w:hint="eastAsia" w:ascii="仿宋" w:hAnsi="仿宋" w:eastAsia="仿宋" w:cs="仿宋"/>
          <w:kern w:val="0"/>
          <w:szCs w:val="32"/>
        </w:rPr>
        <w:t>6、买受人在提货时必须保证运输场地、进出口位置等符合宁波市文明施工要求，并负责途经道路的保洁。</w:t>
      </w:r>
    </w:p>
    <w:p w14:paraId="322BB7A6">
      <w:pPr>
        <w:widowControl/>
        <w:shd w:val="clear" w:color="auto" w:fill="FFFFFF"/>
        <w:spacing w:line="560" w:lineRule="exact"/>
        <w:ind w:firstLine="640"/>
        <w:jc w:val="left"/>
        <w:rPr>
          <w:rFonts w:hint="eastAsia" w:ascii="仿宋" w:hAnsi="仿宋" w:eastAsia="仿宋" w:cs="仿宋"/>
          <w:kern w:val="0"/>
          <w:szCs w:val="32"/>
        </w:rPr>
      </w:pPr>
      <w:r>
        <w:rPr>
          <w:rFonts w:hint="eastAsia" w:ascii="仿宋" w:hAnsi="仿宋" w:eastAsia="仿宋" w:cs="仿宋"/>
          <w:kern w:val="0"/>
          <w:szCs w:val="32"/>
        </w:rPr>
        <w:t>7、买受人在提货运输过程中所涉及的一切安全责任均由买受人承担，与委托人无涉。</w:t>
      </w:r>
    </w:p>
    <w:p w14:paraId="1DAA709E">
      <w:pPr>
        <w:widowControl/>
        <w:shd w:val="clear" w:color="auto" w:fill="FFFFFF"/>
        <w:spacing w:line="560" w:lineRule="exact"/>
        <w:ind w:firstLine="640"/>
        <w:jc w:val="left"/>
        <w:rPr>
          <w:rFonts w:hint="eastAsia" w:ascii="仿宋" w:hAnsi="仿宋" w:eastAsia="仿宋" w:cs="仿宋"/>
          <w:kern w:val="0"/>
          <w:szCs w:val="32"/>
        </w:rPr>
      </w:pPr>
      <w:r>
        <w:rPr>
          <w:rFonts w:hint="eastAsia" w:ascii="仿宋" w:hAnsi="仿宋" w:eastAsia="仿宋" w:cs="仿宋"/>
          <w:kern w:val="0"/>
          <w:szCs w:val="32"/>
        </w:rPr>
        <w:t>8、本次土石混合料运输涉及的运输道路，由买受人自行与相关方协商解决保洁及损坏（包括运输车辆正常行驶造成的道路损坏）赔偿事宜，与委托人无涉。</w:t>
      </w:r>
    </w:p>
    <w:p w14:paraId="0661ED88">
      <w:pPr>
        <w:widowControl/>
        <w:shd w:val="clear" w:color="auto" w:fill="FFFFFF"/>
        <w:spacing w:line="560" w:lineRule="exact"/>
        <w:ind w:firstLine="640"/>
        <w:jc w:val="left"/>
        <w:rPr>
          <w:rFonts w:hint="eastAsia" w:ascii="仿宋" w:hAnsi="仿宋" w:eastAsia="仿宋" w:cs="仿宋"/>
          <w:kern w:val="0"/>
          <w:szCs w:val="32"/>
        </w:rPr>
      </w:pPr>
      <w:r>
        <w:rPr>
          <w:rFonts w:hint="eastAsia" w:ascii="仿宋" w:hAnsi="仿宋" w:eastAsia="仿宋" w:cs="仿宋"/>
          <w:kern w:val="0"/>
          <w:szCs w:val="32"/>
        </w:rPr>
        <w:t>9、买受人对竞价标的的使用、处置应遵循相关法律、法规及有关的规定。</w:t>
      </w:r>
    </w:p>
    <w:p w14:paraId="6BB8C070">
      <w:pPr>
        <w:widowControl/>
        <w:shd w:val="clear" w:color="auto" w:fill="FFFFFF"/>
        <w:spacing w:line="560" w:lineRule="exact"/>
        <w:ind w:firstLine="640"/>
        <w:jc w:val="left"/>
        <w:rPr>
          <w:rFonts w:ascii="仿宋" w:hAnsi="仿宋" w:eastAsia="仿宋" w:cs="仿宋"/>
          <w:b/>
          <w:bCs/>
          <w:kern w:val="0"/>
          <w:szCs w:val="32"/>
        </w:rPr>
      </w:pPr>
      <w:r>
        <w:rPr>
          <w:rFonts w:hint="eastAsia" w:ascii="仿宋" w:hAnsi="仿宋" w:eastAsia="仿宋" w:cs="仿宋"/>
          <w:b/>
          <w:bCs/>
          <w:kern w:val="0"/>
          <w:szCs w:val="32"/>
        </w:rPr>
        <w:t>10、买受人不得自行安排机械进场进行解小、筛分、开采作业。</w:t>
      </w:r>
    </w:p>
    <w:p w14:paraId="427AB610">
      <w:pPr>
        <w:widowControl/>
        <w:shd w:val="clear" w:color="auto" w:fill="FFFFFF"/>
        <w:spacing w:line="560" w:lineRule="exact"/>
        <w:ind w:firstLine="640"/>
        <w:jc w:val="left"/>
        <w:rPr>
          <w:rFonts w:hint="eastAsia" w:ascii="仿宋" w:hAnsi="仿宋" w:eastAsia="仿宋" w:cs="仿宋"/>
          <w:b/>
          <w:bCs/>
          <w:kern w:val="0"/>
          <w:szCs w:val="32"/>
        </w:rPr>
      </w:pPr>
      <w:r>
        <w:rPr>
          <w:rFonts w:hint="eastAsia" w:ascii="仿宋" w:hAnsi="仿宋" w:eastAsia="仿宋" w:cs="仿宋"/>
          <w:b/>
          <w:bCs/>
          <w:kern w:val="0"/>
          <w:szCs w:val="32"/>
        </w:rPr>
        <w:t>11、竞买人须自行了解关注、落实现场进出及周边运输道路事宜。</w:t>
      </w:r>
    </w:p>
    <w:p w14:paraId="6B175D24">
      <w:pPr>
        <w:widowControl/>
        <w:shd w:val="clear" w:color="auto" w:fill="FFFFFF"/>
        <w:spacing w:line="560" w:lineRule="exact"/>
        <w:ind w:firstLine="640"/>
        <w:jc w:val="left"/>
        <w:rPr>
          <w:rFonts w:hint="eastAsia" w:ascii="仿宋_GB2312" w:hAnsi="仿宋_GB2312" w:eastAsia="仿宋_GB2312" w:cs="仿宋_GB2312"/>
          <w:kern w:val="0"/>
          <w:szCs w:val="32"/>
        </w:rPr>
      </w:pPr>
      <w:r>
        <w:rPr>
          <w:rFonts w:hint="eastAsia" w:ascii="仿宋" w:hAnsi="仿宋" w:eastAsia="仿宋" w:cs="仿宋"/>
          <w:b/>
          <w:bCs/>
          <w:kern w:val="0"/>
          <w:szCs w:val="32"/>
        </w:rPr>
        <w:t>12、</w:t>
      </w:r>
      <w:r>
        <w:rPr>
          <w:rFonts w:hint="eastAsia" w:ascii="仿宋" w:hAnsi="仿宋" w:eastAsia="仿宋" w:cs="仿宋"/>
          <w:color w:val="FF0000"/>
          <w:kern w:val="0"/>
          <w:szCs w:val="32"/>
        </w:rPr>
        <w:t>专用道路的桥梁</w:t>
      </w:r>
      <w:r>
        <w:rPr>
          <w:rFonts w:hint="eastAsia" w:ascii="仿宋" w:hAnsi="仿宋" w:eastAsia="仿宋" w:cs="仿宋"/>
          <w:kern w:val="0"/>
          <w:szCs w:val="32"/>
        </w:rPr>
        <w:t>限重65吨，买受人安排的车辆应符合要求。</w:t>
      </w:r>
    </w:p>
    <w:p w14:paraId="264AA83A">
      <w:pPr>
        <w:widowControl/>
        <w:shd w:val="clear" w:color="auto" w:fill="FFFFFF"/>
        <w:spacing w:line="560" w:lineRule="exact"/>
        <w:ind w:firstLine="640"/>
        <w:jc w:val="left"/>
        <w:rPr>
          <w:rFonts w:hint="eastAsia" w:ascii="仿宋" w:hAnsi="仿宋" w:eastAsia="仿宋" w:cs="仿宋"/>
          <w:color w:val="000000"/>
          <w:kern w:val="0"/>
          <w:szCs w:val="32"/>
        </w:rPr>
      </w:pPr>
      <w:r>
        <w:rPr>
          <w:rFonts w:hint="eastAsia" w:ascii="仿宋_GB2312" w:hAnsi="仿宋_GB2312" w:eastAsia="仿宋_GB2312" w:cs="仿宋_GB2312"/>
          <w:kern w:val="0"/>
          <w:szCs w:val="32"/>
        </w:rPr>
        <w:t>13、</w:t>
      </w:r>
      <w:r>
        <w:rPr>
          <w:rFonts w:hint="eastAsia" w:ascii="仿宋" w:hAnsi="仿宋" w:eastAsia="仿宋" w:cs="仿宋"/>
          <w:b/>
          <w:bCs/>
          <w:kern w:val="0"/>
          <w:szCs w:val="32"/>
        </w:rPr>
        <w:t>买受人</w:t>
      </w:r>
      <w:r>
        <w:rPr>
          <w:rFonts w:hint="eastAsia" w:ascii="仿宋" w:hAnsi="仿宋" w:eastAsia="仿宋" w:cs="仿宋"/>
          <w:color w:val="000000"/>
          <w:kern w:val="0"/>
          <w:szCs w:val="32"/>
        </w:rPr>
        <w:t>须到</w:t>
      </w:r>
      <w:r>
        <w:rPr>
          <w:rFonts w:hint="eastAsia" w:ascii="仿宋" w:hAnsi="仿宋" w:eastAsia="仿宋" w:cs="仿宋"/>
          <w:kern w:val="0"/>
          <w:szCs w:val="32"/>
        </w:rPr>
        <w:t>委托人</w:t>
      </w:r>
      <w:r>
        <w:rPr>
          <w:rFonts w:hint="eastAsia" w:ascii="仿宋" w:hAnsi="仿宋" w:eastAsia="仿宋" w:cs="仿宋"/>
          <w:color w:val="000000"/>
          <w:kern w:val="0"/>
          <w:szCs w:val="32"/>
        </w:rPr>
        <w:t>指定磅站过磅</w:t>
      </w:r>
      <w:r>
        <w:rPr>
          <w:rFonts w:hint="eastAsia" w:ascii="仿宋" w:hAnsi="仿宋" w:eastAsia="仿宋" w:cs="仿宋"/>
          <w:kern w:val="0"/>
          <w:szCs w:val="32"/>
        </w:rPr>
        <w:t>（详见附图）</w:t>
      </w:r>
      <w:r>
        <w:rPr>
          <w:rFonts w:hint="eastAsia" w:ascii="仿宋" w:hAnsi="仿宋" w:eastAsia="仿宋" w:cs="仿宋"/>
          <w:color w:val="000000"/>
          <w:kern w:val="0"/>
          <w:szCs w:val="32"/>
        </w:rPr>
        <w:t>，由此可能造成的运输成本增加由</w:t>
      </w:r>
      <w:r>
        <w:rPr>
          <w:rFonts w:hint="eastAsia" w:ascii="仿宋" w:hAnsi="仿宋" w:eastAsia="仿宋" w:cs="仿宋"/>
          <w:b/>
          <w:bCs/>
          <w:kern w:val="0"/>
          <w:szCs w:val="32"/>
        </w:rPr>
        <w:t>买受人</w:t>
      </w:r>
      <w:r>
        <w:rPr>
          <w:rFonts w:hint="eastAsia" w:ascii="仿宋" w:hAnsi="仿宋" w:eastAsia="仿宋" w:cs="仿宋"/>
          <w:color w:val="000000"/>
          <w:kern w:val="0"/>
          <w:szCs w:val="32"/>
        </w:rPr>
        <w:t>承担。</w:t>
      </w:r>
    </w:p>
    <w:p w14:paraId="7CF8404A">
      <w:pPr>
        <w:widowControl/>
        <w:shd w:val="clear" w:color="auto" w:fill="FFFFFF"/>
        <w:spacing w:line="560" w:lineRule="exact"/>
        <w:ind w:firstLine="640"/>
        <w:jc w:val="left"/>
        <w:rPr>
          <w:rFonts w:hint="eastAsia" w:ascii="仿宋" w:hAnsi="仿宋" w:eastAsia="仿宋" w:cs="仿宋"/>
          <w:color w:val="000000"/>
          <w:kern w:val="0"/>
          <w:szCs w:val="32"/>
        </w:rPr>
      </w:pPr>
      <w:r>
        <w:rPr>
          <w:rFonts w:hint="eastAsia" w:ascii="仿宋" w:hAnsi="仿宋" w:eastAsia="仿宋" w:cs="仿宋"/>
          <w:color w:val="000000"/>
          <w:kern w:val="0"/>
          <w:szCs w:val="32"/>
        </w:rPr>
        <w:t>14、</w:t>
      </w:r>
      <w:r>
        <w:rPr>
          <w:rFonts w:hint="eastAsia" w:ascii="仿宋" w:hAnsi="仿宋" w:eastAsia="仿宋" w:cs="仿宋"/>
          <w:b/>
          <w:bCs/>
          <w:kern w:val="0"/>
          <w:szCs w:val="32"/>
        </w:rPr>
        <w:t>买受人</w:t>
      </w:r>
      <w:r>
        <w:rPr>
          <w:rFonts w:hint="eastAsia" w:ascii="仿宋" w:hAnsi="仿宋" w:eastAsia="仿宋" w:cs="仿宋"/>
          <w:color w:val="FF0000"/>
          <w:kern w:val="0"/>
          <w:szCs w:val="32"/>
        </w:rPr>
        <w:t>进场所有车辆必须服从委托人统一指挥，严格遵守现场管理规定。爆破作业期间，买受人车辆进场时间、行驶路线必须按委托人指令执行，严禁闯入警戒区域。</w:t>
      </w:r>
    </w:p>
    <w:p w14:paraId="76378CBB">
      <w:pPr>
        <w:widowControl/>
        <w:shd w:val="clear" w:color="auto" w:fill="FFFFFF"/>
        <w:spacing w:line="560" w:lineRule="exact"/>
        <w:ind w:firstLine="643" w:firstLineChars="200"/>
        <w:jc w:val="left"/>
        <w:rPr>
          <w:rFonts w:hint="eastAsia" w:ascii="仿宋" w:hAnsi="仿宋" w:eastAsia="仿宋" w:cs="仿宋"/>
          <w:b/>
          <w:bCs/>
          <w:kern w:val="0"/>
          <w:szCs w:val="32"/>
        </w:rPr>
      </w:pPr>
      <w:r>
        <w:rPr>
          <w:rFonts w:hint="eastAsia" w:ascii="仿宋" w:hAnsi="仿宋" w:eastAsia="仿宋" w:cs="仿宋"/>
          <w:b/>
          <w:bCs/>
          <w:kern w:val="0"/>
          <w:szCs w:val="32"/>
        </w:rPr>
        <w:t>十一、法律责任</w:t>
      </w:r>
    </w:p>
    <w:p w14:paraId="3DAD071A">
      <w:pPr>
        <w:widowControl/>
        <w:shd w:val="clear" w:color="auto" w:fill="FFFFFF"/>
        <w:spacing w:line="560" w:lineRule="exact"/>
        <w:jc w:val="left"/>
        <w:rPr>
          <w:rFonts w:hint="eastAsia" w:ascii="仿宋" w:hAnsi="仿宋" w:eastAsia="仿宋" w:cs="仿宋"/>
          <w:kern w:val="0"/>
          <w:szCs w:val="32"/>
        </w:rPr>
      </w:pPr>
      <w:r>
        <w:rPr>
          <w:rFonts w:hint="eastAsia" w:ascii="仿宋" w:hAnsi="仿宋" w:eastAsia="仿宋" w:cs="仿宋"/>
          <w:kern w:val="0"/>
          <w:szCs w:val="32"/>
        </w:rPr>
        <w:t xml:space="preserve">     1、委托人和本公司对本次竞价标的存在的已告知或未告知的瑕疵，不承担任何瑕疵担保责任。</w:t>
      </w:r>
    </w:p>
    <w:p w14:paraId="0AF95E8B">
      <w:pPr>
        <w:widowControl/>
        <w:shd w:val="clear" w:color="auto" w:fill="FFFFFF"/>
        <w:spacing w:line="560" w:lineRule="exact"/>
        <w:jc w:val="left"/>
        <w:rPr>
          <w:rFonts w:hint="eastAsia" w:ascii="仿宋" w:hAnsi="仿宋" w:eastAsia="仿宋" w:cs="仿宋"/>
          <w:kern w:val="0"/>
          <w:szCs w:val="32"/>
        </w:rPr>
      </w:pPr>
      <w:r>
        <w:rPr>
          <w:rFonts w:hint="eastAsia" w:ascii="仿宋" w:hAnsi="仿宋" w:eastAsia="仿宋" w:cs="仿宋"/>
          <w:kern w:val="0"/>
          <w:szCs w:val="32"/>
        </w:rPr>
        <w:t xml:space="preserve">     2、买受人有下列违约情况，买受人承担违约责任，本公司可自买受人违约之日起单方面无条件收回竞价标的。</w:t>
      </w:r>
    </w:p>
    <w:p w14:paraId="0F954EA2">
      <w:pPr>
        <w:widowControl/>
        <w:shd w:val="clear" w:color="auto" w:fill="FFFFFF"/>
        <w:spacing w:line="560" w:lineRule="exact"/>
        <w:ind w:firstLine="640"/>
        <w:jc w:val="left"/>
        <w:rPr>
          <w:rFonts w:hint="eastAsia" w:ascii="仿宋" w:hAnsi="仿宋" w:eastAsia="仿宋" w:cs="仿宋"/>
          <w:kern w:val="0"/>
          <w:szCs w:val="32"/>
        </w:rPr>
      </w:pPr>
      <w:r>
        <w:rPr>
          <w:rFonts w:hint="eastAsia" w:ascii="仿宋" w:hAnsi="仿宋" w:eastAsia="仿宋" w:cs="仿宋"/>
          <w:kern w:val="0"/>
          <w:szCs w:val="32"/>
        </w:rPr>
        <w:t>（1）竞价成交后，买受人未与本公司签订《竞价成交确认书》、《竞价笔录》；竞价成交后5个工作日内，买受人未与委托人签订《销售协议》；上述行为均视为买受人违约，竞价保证金作为违约金不予退还；若竞价标的再行竞价，原买受人应当支付第一次竞价中本人及委托人应当支付的服务费。再行竞价的价款低于原竞价价款的，原买受人应当补足差额，委托人保留依法追究的权利，并由买受人承担违约责任。</w:t>
      </w:r>
    </w:p>
    <w:p w14:paraId="1B4CDC16">
      <w:pPr>
        <w:widowControl/>
        <w:shd w:val="clear" w:color="auto" w:fill="FFFFFF"/>
        <w:spacing w:line="560" w:lineRule="exact"/>
        <w:ind w:firstLine="640"/>
        <w:jc w:val="left"/>
        <w:rPr>
          <w:rFonts w:hint="eastAsia" w:ascii="仿宋" w:hAnsi="仿宋" w:eastAsia="仿宋" w:cs="仿宋"/>
          <w:kern w:val="0"/>
          <w:szCs w:val="32"/>
        </w:rPr>
      </w:pPr>
      <w:r>
        <w:rPr>
          <w:rFonts w:hint="eastAsia" w:ascii="仿宋" w:hAnsi="仿宋" w:eastAsia="仿宋" w:cs="仿宋"/>
          <w:kern w:val="0"/>
          <w:szCs w:val="32"/>
        </w:rPr>
        <w:t>（2）买受人未按约定或逾期支付履约保证金、全部预付货款或竞价服务费的，竞价保证金作为违约金不予退还。</w:t>
      </w:r>
    </w:p>
    <w:p w14:paraId="13A0C398">
      <w:pPr>
        <w:widowControl/>
        <w:shd w:val="clear" w:color="auto" w:fill="FFFFFF"/>
        <w:spacing w:line="560" w:lineRule="exact"/>
        <w:ind w:firstLine="640"/>
        <w:jc w:val="left"/>
        <w:rPr>
          <w:rFonts w:hint="eastAsia" w:ascii="仿宋" w:hAnsi="仿宋" w:eastAsia="仿宋" w:cs="仿宋"/>
          <w:kern w:val="0"/>
          <w:szCs w:val="32"/>
        </w:rPr>
      </w:pPr>
      <w:r>
        <w:rPr>
          <w:rFonts w:hint="eastAsia" w:ascii="仿宋" w:hAnsi="仿宋" w:eastAsia="仿宋" w:cs="仿宋"/>
          <w:kern w:val="0"/>
          <w:szCs w:val="32"/>
        </w:rPr>
        <w:t>（3）买受人未按本《竞价须知》之任一条款履行的，视为买受人违约，竞价保证金作为违约金不予退还。</w:t>
      </w:r>
    </w:p>
    <w:p w14:paraId="166FC765">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3、竞买人之间恶意串通或有操纵竞价、弄虚作假行为的，本公司有权当场取消其竞买资格，并依法由竞买人承担相应的赔偿责任。</w:t>
      </w:r>
    </w:p>
    <w:p w14:paraId="4132A6E6">
      <w:pPr>
        <w:widowControl/>
        <w:shd w:val="clear" w:color="auto" w:fill="FFFFFF"/>
        <w:spacing w:line="560" w:lineRule="exact"/>
        <w:ind w:firstLine="643" w:firstLineChars="200"/>
        <w:jc w:val="left"/>
        <w:rPr>
          <w:rFonts w:hint="eastAsia" w:ascii="仿宋" w:hAnsi="仿宋" w:eastAsia="仿宋" w:cs="仿宋"/>
          <w:b/>
          <w:bCs/>
          <w:kern w:val="0"/>
          <w:szCs w:val="32"/>
        </w:rPr>
      </w:pPr>
      <w:r>
        <w:rPr>
          <w:rFonts w:hint="eastAsia" w:ascii="仿宋" w:hAnsi="仿宋" w:eastAsia="仿宋" w:cs="仿宋"/>
          <w:b/>
          <w:bCs/>
          <w:kern w:val="0"/>
          <w:szCs w:val="32"/>
        </w:rPr>
        <w:t>十二、其他约定</w:t>
      </w:r>
    </w:p>
    <w:p w14:paraId="73C462A4">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1、若《竞价须知》需要修正或补充的，本公司可以在举行竞价之前书面告知竞买人，也可在宣布正式竞价前由本公司口头说明或补充。竞买人一经参拍或应价的，均视为已接受此修正或补充。</w:t>
      </w:r>
    </w:p>
    <w:p w14:paraId="54BE9A83">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2、因战争、动乱、航空飞行物体坠落或其他非买卖双方责任造成的爆炸、火灾，以及地震、台风等不可抗力或成交后国家政策因素致使本标的不能如期交割等一切事宜，委托人、本公司不承担相关责任。</w:t>
      </w:r>
    </w:p>
    <w:p w14:paraId="36B391F2">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3、委托人在竞价开始前可以暂停、中止、撤回，若出现上述情况，委托人和本公司不向竞买人承担任何责任及一切费用。竞价保证金将在出现上述情况后全额退还（不计息）。</w:t>
      </w:r>
    </w:p>
    <w:p w14:paraId="18AA04B6">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十三、竞买人报名参加本次竞价会，即对所竞买的标的已完全了解，并愿意承担相应法律责任，自愿遵守本《竞价须知》各项条款及相关法律规定。未经咨询看样参拍的，责任自负。</w:t>
      </w:r>
    </w:p>
    <w:p w14:paraId="2D4C7001">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 w:hAnsi="仿宋" w:eastAsia="仿宋" w:cs="仿宋"/>
          <w:kern w:val="0"/>
          <w:szCs w:val="32"/>
        </w:rPr>
        <w:t>十四、本竞价须知包括附件是《竞价成交确认书》的补充，与《竞价成交确认书》具有同等法律效力。</w:t>
      </w:r>
    </w:p>
    <w:p w14:paraId="5D8C5B13">
      <w:pPr>
        <w:widowControl/>
        <w:shd w:val="clear" w:color="auto" w:fill="FFFFFF"/>
        <w:spacing w:line="560" w:lineRule="exact"/>
        <w:jc w:val="left"/>
        <w:rPr>
          <w:rFonts w:ascii="仿宋" w:hAnsi="仿宋" w:eastAsia="仿宋" w:cs="仿宋"/>
          <w:kern w:val="0"/>
          <w:szCs w:val="32"/>
        </w:rPr>
      </w:pPr>
      <w:r>
        <w:rPr>
          <w:rFonts w:hint="eastAsia" w:ascii="仿宋" w:hAnsi="仿宋" w:eastAsia="仿宋" w:cs="仿宋"/>
          <w:kern w:val="0"/>
          <w:szCs w:val="32"/>
        </w:rPr>
        <w:t xml:space="preserve">  附件 ：（1）《销售协议》</w:t>
      </w:r>
    </w:p>
    <w:p w14:paraId="0FFC899F">
      <w:pPr>
        <w:widowControl/>
        <w:shd w:val="clear" w:color="auto" w:fill="FFFFFF"/>
        <w:spacing w:line="560" w:lineRule="exact"/>
        <w:jc w:val="left"/>
        <w:rPr>
          <w:rFonts w:hint="eastAsia" w:ascii="仿宋" w:hAnsi="仿宋" w:eastAsia="仿宋" w:cs="仿宋"/>
          <w:kern w:val="0"/>
          <w:szCs w:val="32"/>
        </w:rPr>
      </w:pPr>
    </w:p>
    <w:p w14:paraId="7D76A022">
      <w:pPr>
        <w:widowControl/>
        <w:shd w:val="clear" w:color="auto" w:fill="FFFFFF"/>
        <w:spacing w:line="560" w:lineRule="exact"/>
        <w:jc w:val="right"/>
        <w:rPr>
          <w:rFonts w:hint="eastAsia" w:ascii="仿宋" w:hAnsi="仿宋" w:eastAsia="仿宋" w:cs="仿宋"/>
          <w:kern w:val="0"/>
          <w:szCs w:val="32"/>
        </w:rPr>
      </w:pPr>
      <w:r>
        <w:rPr>
          <w:rFonts w:hint="eastAsia" w:ascii="仿宋" w:hAnsi="仿宋" w:eastAsia="仿宋" w:cs="仿宋"/>
          <w:kern w:val="0"/>
          <w:szCs w:val="32"/>
        </w:rPr>
        <w:t xml:space="preserve">   宁波市镇海产权服务中心有限公司</w:t>
      </w:r>
    </w:p>
    <w:p w14:paraId="5AAF84CB">
      <w:pPr>
        <w:widowControl/>
        <w:shd w:val="clear" w:color="auto" w:fill="FFFFFF"/>
        <w:spacing w:line="560" w:lineRule="exact"/>
        <w:jc w:val="right"/>
        <w:rPr>
          <w:rFonts w:hint="eastAsia" w:ascii="仿宋" w:hAnsi="仿宋" w:eastAsia="仿宋" w:cs="仿宋"/>
          <w:kern w:val="0"/>
          <w:szCs w:val="32"/>
        </w:rPr>
      </w:pPr>
      <w:r>
        <w:rPr>
          <w:rFonts w:hint="eastAsia" w:ascii="仿宋" w:hAnsi="仿宋" w:eastAsia="仿宋" w:cs="仿宋"/>
          <w:kern w:val="0"/>
          <w:szCs w:val="32"/>
        </w:rPr>
        <w:t xml:space="preserve">          2026年</w:t>
      </w:r>
      <w:r>
        <w:rPr>
          <w:rFonts w:hint="eastAsia" w:ascii="仿宋" w:hAnsi="仿宋" w:eastAsia="仿宋" w:cs="仿宋"/>
          <w:kern w:val="0"/>
          <w:szCs w:val="32"/>
          <w:lang w:val="en-US" w:eastAsia="zh-CN"/>
        </w:rPr>
        <w:t>6</w:t>
      </w:r>
      <w:r>
        <w:rPr>
          <w:rFonts w:hint="eastAsia" w:ascii="仿宋" w:hAnsi="仿宋" w:eastAsia="仿宋" w:cs="仿宋"/>
          <w:kern w:val="0"/>
          <w:szCs w:val="32"/>
        </w:rPr>
        <w:t>月</w:t>
      </w:r>
      <w:r>
        <w:rPr>
          <w:rFonts w:hint="eastAsia" w:ascii="仿宋" w:hAnsi="仿宋" w:eastAsia="仿宋" w:cs="仿宋"/>
          <w:kern w:val="0"/>
          <w:szCs w:val="32"/>
          <w:lang w:val="en-US" w:eastAsia="zh-CN"/>
        </w:rPr>
        <w:t>3</w:t>
      </w:r>
      <w:r>
        <w:rPr>
          <w:rFonts w:hint="eastAsia" w:ascii="仿宋" w:hAnsi="仿宋" w:eastAsia="仿宋" w:cs="仿宋"/>
          <w:kern w:val="0"/>
          <w:szCs w:val="32"/>
        </w:rPr>
        <w:t>日</w:t>
      </w:r>
    </w:p>
    <w:p w14:paraId="473D7B07">
      <w:pPr>
        <w:pStyle w:val="7"/>
        <w:ind w:firstLine="0" w:firstLineChars="0"/>
        <w:jc w:val="center"/>
        <w:rPr>
          <w:rFonts w:hint="eastAsia" w:ascii="仿宋" w:hAnsi="仿宋" w:eastAsia="仿宋" w:cs="仿宋"/>
          <w:b/>
          <w:bCs/>
          <w:kern w:val="0"/>
          <w:sz w:val="36"/>
          <w:szCs w:val="36"/>
        </w:rPr>
      </w:pPr>
    </w:p>
    <w:p w14:paraId="4730EDEA">
      <w:pPr>
        <w:pStyle w:val="7"/>
        <w:ind w:firstLine="0" w:firstLineChars="0"/>
        <w:jc w:val="center"/>
        <w:rPr>
          <w:rFonts w:hint="eastAsia" w:ascii="仿宋" w:hAnsi="仿宋" w:eastAsia="仿宋" w:cs="仿宋"/>
          <w:b/>
          <w:bCs/>
          <w:kern w:val="0"/>
          <w:sz w:val="36"/>
          <w:szCs w:val="36"/>
        </w:rPr>
      </w:pPr>
    </w:p>
    <w:p w14:paraId="656FAC15">
      <w:pPr>
        <w:pStyle w:val="7"/>
        <w:ind w:firstLine="0" w:firstLineChars="0"/>
        <w:jc w:val="center"/>
        <w:rPr>
          <w:rFonts w:hint="eastAsia" w:ascii="仿宋" w:hAnsi="仿宋" w:eastAsia="仿宋" w:cs="仿宋"/>
          <w:b/>
          <w:bCs/>
          <w:kern w:val="0"/>
          <w:sz w:val="36"/>
          <w:szCs w:val="36"/>
        </w:rPr>
      </w:pPr>
    </w:p>
    <w:p w14:paraId="47ED4891">
      <w:pPr>
        <w:pStyle w:val="7"/>
        <w:ind w:firstLine="0" w:firstLineChars="0"/>
        <w:jc w:val="center"/>
        <w:rPr>
          <w:rFonts w:hint="eastAsia" w:ascii="仿宋" w:hAnsi="仿宋" w:eastAsia="仿宋" w:cs="仿宋"/>
          <w:b/>
          <w:bCs/>
          <w:kern w:val="0"/>
          <w:sz w:val="36"/>
          <w:szCs w:val="36"/>
        </w:rPr>
      </w:pPr>
    </w:p>
    <w:p w14:paraId="72DE2C03">
      <w:pPr>
        <w:pStyle w:val="7"/>
        <w:ind w:firstLine="0" w:firstLineChars="0"/>
        <w:jc w:val="center"/>
        <w:rPr>
          <w:rFonts w:hint="eastAsia" w:ascii="仿宋" w:hAnsi="仿宋" w:eastAsia="仿宋" w:cs="仿宋"/>
          <w:b/>
          <w:bCs/>
          <w:kern w:val="0"/>
          <w:sz w:val="36"/>
          <w:szCs w:val="36"/>
        </w:rPr>
        <w:sectPr>
          <w:pgSz w:w="11906" w:h="16838"/>
          <w:pgMar w:top="1440" w:right="1803" w:bottom="1440" w:left="1803" w:header="851" w:footer="992" w:gutter="0"/>
          <w:cols w:space="720" w:num="1"/>
          <w:docGrid w:type="lines" w:linePitch="436" w:charSpace="0"/>
        </w:sectPr>
      </w:pPr>
    </w:p>
    <w:p w14:paraId="0298CE9D"/>
    <w:p w14:paraId="524FCDBA">
      <w:pPr>
        <w:widowControl/>
        <w:shd w:val="clear" w:color="auto" w:fill="FFFFFF"/>
        <w:spacing w:line="560" w:lineRule="exact"/>
        <w:jc w:val="center"/>
        <w:rPr>
          <w:rFonts w:hint="eastAsia" w:ascii="仿宋" w:hAnsi="仿宋" w:eastAsia="仿宋" w:cs="仿宋"/>
          <w:kern w:val="0"/>
          <w:szCs w:val="32"/>
        </w:rPr>
      </w:pPr>
    </w:p>
    <w:p w14:paraId="6D1194E6">
      <w:pPr>
        <w:pStyle w:val="7"/>
        <w:ind w:firstLine="0" w:firstLineChars="0"/>
        <w:jc w:val="center"/>
        <w:rPr>
          <w:rFonts w:hint="eastAsia" w:ascii="仿宋" w:hAnsi="仿宋" w:eastAsia="仿宋" w:cs="仿宋"/>
          <w:b/>
          <w:bCs/>
          <w:kern w:val="0"/>
          <w:sz w:val="36"/>
          <w:szCs w:val="36"/>
        </w:rPr>
      </w:pPr>
      <w:r>
        <w:rPr>
          <w:rFonts w:hint="eastAsia" w:ascii="仿宋" w:hAnsi="仿宋" w:eastAsia="仿宋" w:cs="仿宋"/>
          <w:b/>
          <w:bCs/>
          <w:kern w:val="0"/>
          <w:sz w:val="36"/>
          <w:szCs w:val="36"/>
        </w:rPr>
        <w:drawing>
          <wp:inline distT="0" distB="0" distL="114300" distR="114300">
            <wp:extent cx="5525135" cy="3226435"/>
            <wp:effectExtent l="0" t="0" r="12065" b="12065"/>
            <wp:docPr id="1" name="图片 1" descr="2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222(1)"/>
                    <pic:cNvPicPr>
                      <a:picLocks noChangeAspect="1"/>
                    </pic:cNvPicPr>
                  </pic:nvPicPr>
                  <pic:blipFill>
                    <a:blip r:embed="rId4"/>
                    <a:srcRect r="37291" b="51213"/>
                    <a:stretch>
                      <a:fillRect/>
                    </a:stretch>
                  </pic:blipFill>
                  <pic:spPr>
                    <a:xfrm>
                      <a:off x="0" y="0"/>
                      <a:ext cx="5525135" cy="3226435"/>
                    </a:xfrm>
                    <a:prstGeom prst="rect">
                      <a:avLst/>
                    </a:prstGeom>
                    <a:noFill/>
                    <a:ln>
                      <a:noFill/>
                    </a:ln>
                  </pic:spPr>
                </pic:pic>
              </a:graphicData>
            </a:graphic>
          </wp:inline>
        </w:drawing>
      </w:r>
      <w:r>
        <w:rPr>
          <w:rFonts w:hint="eastAsia" w:ascii="仿宋_GB2312" w:hAnsi="仿宋_GB2312" w:eastAsia="仿宋_GB2312" w:cs="仿宋_GB2312"/>
          <w:color w:val="000000"/>
          <w:kern w:val="0"/>
          <w:szCs w:val="32"/>
          <w:u w:val="double"/>
        </w:rPr>
        <w:t>指定磅站示意图</w:t>
      </w:r>
    </w:p>
    <w:p w14:paraId="2030CC22">
      <w:pPr>
        <w:pStyle w:val="7"/>
        <w:ind w:firstLine="0" w:firstLineChars="0"/>
        <w:jc w:val="center"/>
        <w:rPr>
          <w:rFonts w:hint="eastAsia" w:ascii="仿宋" w:hAnsi="仿宋" w:eastAsia="仿宋" w:cs="仿宋"/>
          <w:b/>
          <w:bCs/>
          <w:kern w:val="0"/>
          <w:sz w:val="36"/>
          <w:szCs w:val="36"/>
        </w:rPr>
      </w:pPr>
    </w:p>
    <w:p w14:paraId="08FF0F1C">
      <w:r>
        <w:br w:type="page"/>
      </w:r>
    </w:p>
    <w:p w14:paraId="4B574DB2">
      <w:pPr>
        <w:widowControl/>
        <w:shd w:val="clear" w:color="auto" w:fill="FFFFFF"/>
        <w:spacing w:line="560" w:lineRule="exact"/>
        <w:jc w:val="center"/>
        <w:rPr>
          <w:rFonts w:hint="eastAsia"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rPr>
        <w:t>销售协议</w:t>
      </w:r>
    </w:p>
    <w:p w14:paraId="44547C8E">
      <w:pPr>
        <w:widowControl/>
        <w:shd w:val="clear" w:color="auto" w:fill="FFFFFF"/>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 xml:space="preserve"> </w:t>
      </w:r>
    </w:p>
    <w:p w14:paraId="1569C8F1">
      <w:pPr>
        <w:widowControl/>
        <w:shd w:val="clear" w:color="auto" w:fill="FFFFFF"/>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销售方：宁波市雄镇投资集团有限公司 （以下简称甲方）</w:t>
      </w:r>
    </w:p>
    <w:p w14:paraId="04DB009D">
      <w:pPr>
        <w:widowControl/>
        <w:shd w:val="clear" w:color="auto" w:fill="FFFFFF"/>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买受方：</w:t>
      </w:r>
      <w:r>
        <w:rPr>
          <w:rFonts w:hint="eastAsia" w:ascii="仿宋" w:hAnsi="仿宋" w:eastAsia="仿宋" w:cs="仿宋"/>
          <w:kern w:val="0"/>
          <w:szCs w:val="32"/>
        </w:rPr>
        <w:t>__________________________</w:t>
      </w:r>
      <w:r>
        <w:rPr>
          <w:rFonts w:hint="eastAsia" w:ascii="仿宋_GB2312" w:hAnsi="仿宋_GB2312" w:eastAsia="仿宋_GB2312" w:cs="仿宋_GB2312"/>
          <w:color w:val="000000"/>
          <w:kern w:val="0"/>
          <w:szCs w:val="32"/>
        </w:rPr>
        <w:t>（以下简称乙方）</w:t>
      </w:r>
    </w:p>
    <w:p w14:paraId="7AE7D7A5">
      <w:pPr>
        <w:ind w:firstLine="640" w:firstLineChars="200"/>
        <w:textAlignment w:val="bottom"/>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乙方经竞价拍卖，以最高应价</w:t>
      </w:r>
      <w:r>
        <w:rPr>
          <w:rFonts w:hint="eastAsia" w:ascii="仿宋" w:hAnsi="仿宋" w:eastAsia="仿宋" w:cs="仿宋"/>
          <w:kern w:val="0"/>
          <w:szCs w:val="32"/>
        </w:rPr>
        <w:t>___</w:t>
      </w:r>
      <w:r>
        <w:rPr>
          <w:rFonts w:hint="eastAsia" w:ascii="仿宋_GB2312" w:hAnsi="仿宋_GB2312" w:eastAsia="仿宋_GB2312" w:cs="仿宋_GB2312"/>
          <w:color w:val="000000"/>
          <w:kern w:val="0"/>
          <w:szCs w:val="32"/>
        </w:rPr>
        <w:t>元/吨竞得一批土石混合料，现就相关事项协议如下：</w:t>
      </w:r>
    </w:p>
    <w:p w14:paraId="41DA774E">
      <w:pPr>
        <w:widowControl/>
        <w:shd w:val="clear" w:color="auto" w:fill="FFFFFF"/>
        <w:spacing w:line="560" w:lineRule="exact"/>
        <w:ind w:firstLine="643" w:firstLineChars="200"/>
        <w:jc w:val="left"/>
        <w:rPr>
          <w:rFonts w:hint="eastAsia" w:ascii="仿宋_GB2312" w:hAnsi="仿宋_GB2312" w:eastAsia="仿宋_GB2312" w:cs="仿宋_GB2312"/>
          <w:b/>
          <w:bCs/>
          <w:color w:val="000000"/>
          <w:kern w:val="0"/>
          <w:szCs w:val="32"/>
        </w:rPr>
      </w:pPr>
      <w:r>
        <w:rPr>
          <w:rFonts w:hint="eastAsia" w:ascii="仿宋_GB2312" w:hAnsi="仿宋_GB2312" w:eastAsia="仿宋_GB2312" w:cs="仿宋_GB2312"/>
          <w:b/>
          <w:bCs/>
          <w:color w:val="000000"/>
          <w:kern w:val="0"/>
          <w:szCs w:val="32"/>
        </w:rPr>
        <w:t>一、土石混合料数量及价格：</w:t>
      </w:r>
    </w:p>
    <w:p w14:paraId="2D0EC259">
      <w:pPr>
        <w:widowControl/>
        <w:shd w:val="clear" w:color="auto" w:fill="FFFFFF"/>
        <w:spacing w:line="560" w:lineRule="exact"/>
        <w:ind w:firstLine="640" w:firstLineChars="200"/>
        <w:jc w:val="left"/>
        <w:rPr>
          <w:rFonts w:hint="eastAsia" w:ascii="仿宋_GB2312" w:hAnsi="仿宋_GB2312" w:eastAsia="仿宋_GB2312" w:cs="仿宋_GB2312"/>
          <w:szCs w:val="32"/>
        </w:rPr>
      </w:pPr>
      <w:r>
        <w:rPr>
          <w:rFonts w:hint="eastAsia" w:ascii="仿宋_GB2312" w:hAnsi="仿宋_GB2312" w:eastAsia="仿宋_GB2312" w:cs="仿宋_GB2312"/>
          <w:szCs w:val="32"/>
        </w:rPr>
        <w:t>镇海区九龙湖镇田顾村、杜夹岙村、中心村9处废弃矿山生态修复治理项目开采的土石混合料，数量</w:t>
      </w:r>
      <w:r>
        <w:rPr>
          <w:rFonts w:hint="eastAsia" w:ascii="仿宋" w:hAnsi="仿宋" w:eastAsia="仿宋" w:cs="仿宋"/>
          <w:color w:val="FF0000"/>
          <w:kern w:val="0"/>
          <w:szCs w:val="32"/>
          <w:lang w:val="en-US" w:eastAsia="zh-CN"/>
        </w:rPr>
        <w:t>约5万</w:t>
      </w:r>
      <w:r>
        <w:rPr>
          <w:rFonts w:hint="eastAsia" w:ascii="仿宋_GB2312" w:hAnsi="仿宋_GB2312" w:eastAsia="仿宋_GB2312" w:cs="仿宋_GB2312"/>
          <w:szCs w:val="32"/>
        </w:rPr>
        <w:t>吨，大小不一，形状不规则，价格为</w:t>
      </w: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元/吨（含</w:t>
      </w:r>
      <w:r>
        <w:rPr>
          <w:rFonts w:hint="eastAsia" w:ascii="仿宋_GB2312" w:hAnsi="仿宋_GB2312" w:eastAsia="仿宋_GB2312" w:cs="仿宋_GB2312"/>
          <w:szCs w:val="32"/>
          <w:lang w:val="en-US" w:eastAsia="zh-CN"/>
        </w:rPr>
        <w:t>3%增值</w:t>
      </w:r>
      <w:r>
        <w:rPr>
          <w:rFonts w:hint="eastAsia" w:ascii="仿宋_GB2312" w:hAnsi="仿宋_GB2312" w:eastAsia="仿宋_GB2312" w:cs="仿宋_GB2312"/>
          <w:szCs w:val="32"/>
        </w:rPr>
        <w:t>税），提货截止时间</w:t>
      </w:r>
      <w:r>
        <w:rPr>
          <w:rFonts w:hint="eastAsia" w:ascii="仿宋_GB2312" w:hAnsi="仿宋_GB2312" w:eastAsia="仿宋_GB2312" w:cs="仿宋_GB2312"/>
          <w:szCs w:val="32"/>
          <w:highlight w:val="none"/>
        </w:rPr>
        <w:t>2026年</w:t>
      </w:r>
      <w:r>
        <w:rPr>
          <w:rFonts w:hint="eastAsia" w:ascii="仿宋_GB2312" w:hAnsi="仿宋_GB2312" w:eastAsia="仿宋_GB2312" w:cs="仿宋_GB2312"/>
          <w:szCs w:val="32"/>
          <w:highlight w:val="none"/>
          <w:lang w:val="en-US" w:eastAsia="zh-CN"/>
        </w:rPr>
        <w:t>8月15日</w:t>
      </w:r>
      <w:r>
        <w:rPr>
          <w:rFonts w:hint="eastAsia" w:ascii="仿宋_GB2312" w:hAnsi="仿宋_GB2312" w:eastAsia="仿宋_GB2312" w:cs="仿宋_GB2312"/>
          <w:szCs w:val="32"/>
          <w:highlight w:val="none"/>
        </w:rPr>
        <w:t>，</w:t>
      </w:r>
      <w:r>
        <w:rPr>
          <w:rFonts w:hint="eastAsia" w:ascii="仿宋_GB2312" w:hAnsi="仿宋_GB2312" w:eastAsia="仿宋_GB2312" w:cs="仿宋_GB2312"/>
          <w:szCs w:val="32"/>
        </w:rPr>
        <w:t>最终土石混合料数量按实际过磅为准，双方确认的磅单作为货款结算唯一依据。乙方须到甲方指定磅站过磅，由此可能造成的运输成本增加由乙方承担。</w:t>
      </w:r>
    </w:p>
    <w:p w14:paraId="771AFEE7">
      <w:pPr>
        <w:widowControl/>
        <w:shd w:val="clear" w:color="auto" w:fill="FFFFFF"/>
        <w:spacing w:line="560" w:lineRule="exact"/>
        <w:ind w:firstLine="643" w:firstLineChars="200"/>
        <w:jc w:val="left"/>
        <w:rPr>
          <w:rFonts w:hint="eastAsia" w:ascii="仿宋_GB2312" w:hAnsi="仿宋_GB2312" w:eastAsia="仿宋_GB2312" w:cs="仿宋_GB2312"/>
          <w:b/>
          <w:bCs/>
          <w:color w:val="000000"/>
          <w:kern w:val="0"/>
          <w:szCs w:val="32"/>
        </w:rPr>
      </w:pPr>
      <w:r>
        <w:rPr>
          <w:rFonts w:hint="eastAsia" w:ascii="仿宋_GB2312" w:hAnsi="仿宋_GB2312" w:eastAsia="仿宋_GB2312" w:cs="仿宋_GB2312"/>
          <w:b/>
          <w:bCs/>
          <w:color w:val="000000"/>
          <w:kern w:val="0"/>
          <w:szCs w:val="32"/>
        </w:rPr>
        <w:t>二、付款方式：</w:t>
      </w:r>
    </w:p>
    <w:p w14:paraId="4FD852E4">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_GB2312" w:hAnsi="仿宋_GB2312" w:eastAsia="仿宋_GB2312" w:cs="仿宋_GB2312"/>
          <w:color w:val="000000"/>
          <w:kern w:val="0"/>
          <w:szCs w:val="32"/>
        </w:rPr>
        <w:t>2.1</w:t>
      </w:r>
      <w:r>
        <w:rPr>
          <w:rFonts w:hint="eastAsia" w:ascii="仿宋_GB2312" w:hAnsi="仿宋_GB2312" w:eastAsia="仿宋_GB2312" w:cs="仿宋_GB2312"/>
          <w:color w:val="FF0000"/>
          <w:szCs w:val="32"/>
        </w:rPr>
        <w:t>乙方应于网络竞价成交后5个工作日</w:t>
      </w:r>
      <w:r>
        <w:rPr>
          <w:rFonts w:hint="eastAsia" w:ascii="仿宋_GB2312" w:hAnsi="仿宋_GB2312" w:eastAsia="仿宋_GB2312" w:cs="仿宋_GB2312"/>
          <w:color w:val="FF0000"/>
          <w:szCs w:val="32"/>
          <w:lang w:val="en-US" w:eastAsia="zh-CN"/>
        </w:rPr>
        <w:t>内</w:t>
      </w:r>
      <w:r>
        <w:rPr>
          <w:rFonts w:hint="eastAsia" w:ascii="仿宋_GB2312" w:hAnsi="仿宋_GB2312" w:eastAsia="仿宋_GB2312" w:cs="仿宋_GB2312"/>
          <w:color w:val="FF0000"/>
          <w:szCs w:val="32"/>
          <w:lang w:bidi="ar"/>
        </w:rPr>
        <w:t>一次性支付预付货款</w:t>
      </w:r>
      <w:r>
        <w:rPr>
          <w:rFonts w:hint="eastAsia" w:ascii="仿宋_GB2312" w:hAnsi="仿宋_GB2312" w:eastAsia="仿宋_GB2312" w:cs="仿宋_GB2312"/>
          <w:color w:val="FF0000"/>
          <w:szCs w:val="32"/>
        </w:rPr>
        <w:t>（成交单价*竞价标的数量</w:t>
      </w:r>
      <w:r>
        <w:rPr>
          <w:rFonts w:hint="eastAsia" w:ascii="仿宋" w:hAnsi="仿宋" w:eastAsia="仿宋" w:cs="仿宋"/>
          <w:color w:val="FF0000"/>
          <w:kern w:val="0"/>
          <w:szCs w:val="32"/>
          <w:lang w:val="en-US" w:eastAsia="zh-CN"/>
        </w:rPr>
        <w:t>约5万</w:t>
      </w:r>
      <w:r>
        <w:rPr>
          <w:rFonts w:hint="eastAsia" w:ascii="仿宋" w:hAnsi="仿宋" w:eastAsia="仿宋" w:cs="仿宋"/>
          <w:color w:val="FF0000"/>
          <w:szCs w:val="32"/>
        </w:rPr>
        <w:t>吨</w:t>
      </w:r>
      <w:r>
        <w:rPr>
          <w:rFonts w:hint="eastAsia" w:ascii="仿宋_GB2312" w:hAnsi="仿宋_GB2312" w:eastAsia="仿宋_GB2312" w:cs="仿宋_GB2312"/>
          <w:color w:val="FF0000"/>
          <w:szCs w:val="32"/>
        </w:rPr>
        <w:t>）及土石混合料</w:t>
      </w:r>
      <w:r>
        <w:rPr>
          <w:rFonts w:hint="eastAsia" w:ascii="仿宋_GB2312" w:hAnsi="仿宋_GB2312" w:eastAsia="仿宋_GB2312" w:cs="仿宋_GB2312"/>
          <w:color w:val="FF0000"/>
          <w:szCs w:val="32"/>
          <w:lang w:bidi="ar"/>
        </w:rPr>
        <w:t>成交</w:t>
      </w:r>
      <w:r>
        <w:rPr>
          <w:rFonts w:hint="eastAsia" w:ascii="仿宋_GB2312" w:hAnsi="仿宋_GB2312" w:eastAsia="仿宋_GB2312" w:cs="仿宋_GB2312"/>
          <w:color w:val="FF0000"/>
          <w:szCs w:val="32"/>
        </w:rPr>
        <w:t>总价（成交单价*竞价标的数量</w:t>
      </w:r>
      <w:r>
        <w:rPr>
          <w:rFonts w:hint="eastAsia" w:ascii="仿宋" w:hAnsi="仿宋" w:eastAsia="仿宋" w:cs="仿宋"/>
          <w:color w:val="FF0000"/>
          <w:kern w:val="0"/>
          <w:szCs w:val="32"/>
          <w:lang w:val="en-US" w:eastAsia="zh-CN"/>
        </w:rPr>
        <w:t>约5万</w:t>
      </w:r>
      <w:r>
        <w:rPr>
          <w:rFonts w:hint="eastAsia" w:ascii="仿宋" w:hAnsi="仿宋" w:eastAsia="仿宋" w:cs="仿宋"/>
          <w:color w:val="FF0000"/>
          <w:szCs w:val="32"/>
        </w:rPr>
        <w:t>吨</w:t>
      </w:r>
      <w:r>
        <w:rPr>
          <w:rFonts w:hint="eastAsia" w:ascii="仿宋_GB2312" w:hAnsi="仿宋_GB2312" w:eastAsia="仿宋_GB2312" w:cs="仿宋_GB2312"/>
          <w:color w:val="FF0000"/>
          <w:szCs w:val="32"/>
        </w:rPr>
        <w:t>）的25%履约保证金。</w:t>
      </w:r>
      <w:r>
        <w:rPr>
          <w:rFonts w:hint="eastAsia" w:ascii="仿宋_GB2312" w:hAnsi="仿宋_GB2312" w:eastAsia="仿宋_GB2312" w:cs="仿宋_GB2312"/>
          <w:szCs w:val="32"/>
        </w:rPr>
        <w:t>乙方应</w:t>
      </w:r>
      <w:r>
        <w:rPr>
          <w:rFonts w:hint="eastAsia" w:ascii="仿宋_GB2312" w:hAnsi="仿宋_GB2312" w:eastAsia="仿宋_GB2312" w:cs="仿宋_GB2312"/>
          <w:kern w:val="0"/>
          <w:szCs w:val="32"/>
        </w:rPr>
        <w:t>先付款后拉货，</w:t>
      </w:r>
      <w:r>
        <w:rPr>
          <w:rFonts w:hint="eastAsia" w:ascii="仿宋_GB2312" w:hAnsi="仿宋_GB2312" w:eastAsia="仿宋_GB2312" w:cs="仿宋_GB2312"/>
          <w:szCs w:val="32"/>
        </w:rPr>
        <w:t>当剩余货款不足10万元时，根据现场剩余标的的数量，3日内支付预付货款，付款金额为5万元的倍数。最终</w:t>
      </w:r>
      <w:r>
        <w:rPr>
          <w:rFonts w:hint="eastAsia" w:ascii="仿宋_GB2312" w:hAnsi="仿宋_GB2312" w:eastAsia="仿宋_GB2312" w:cs="仿宋_GB2312"/>
          <w:kern w:val="0"/>
          <w:szCs w:val="32"/>
          <w:lang w:bidi="ar"/>
        </w:rPr>
        <w:t>按实结算，多退少补。</w:t>
      </w:r>
    </w:p>
    <w:p w14:paraId="7C3D4020">
      <w:pPr>
        <w:widowControl/>
        <w:shd w:val="clear" w:color="auto" w:fill="FFFFFF"/>
        <w:spacing w:line="560" w:lineRule="exact"/>
        <w:ind w:firstLine="640" w:firstLineChars="200"/>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2.2每日的提货数量乙方必须于当日与甲方进行核对确认，否则甲方有权单方面根据过磅单确定购买数量。</w:t>
      </w:r>
    </w:p>
    <w:p w14:paraId="5383149D">
      <w:pPr>
        <w:widowControl/>
        <w:shd w:val="clear" w:color="auto" w:fill="FFFFFF"/>
        <w:spacing w:line="560" w:lineRule="exact"/>
        <w:ind w:firstLine="640" w:firstLineChars="200"/>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2.3土石混合料的单价为含税价，甲方开具3%增值税专用发票。</w:t>
      </w:r>
    </w:p>
    <w:p w14:paraId="1D6C17B9">
      <w:pPr>
        <w:widowControl/>
        <w:shd w:val="clear" w:color="auto" w:fill="FFFFFF"/>
        <w:spacing w:line="560" w:lineRule="exact"/>
        <w:ind w:firstLine="640" w:firstLineChars="200"/>
        <w:jc w:val="left"/>
        <w:rPr>
          <w:rFonts w:hint="eastAsia" w:ascii="仿宋_GB2312" w:hAnsi="仿宋_GB2312" w:eastAsia="仿宋_GB2312" w:cs="仿宋_GB2312"/>
          <w:color w:val="FF0000"/>
          <w:szCs w:val="32"/>
        </w:rPr>
      </w:pPr>
      <w:r>
        <w:rPr>
          <w:rFonts w:hint="eastAsia" w:ascii="仿宋_GB2312" w:hAnsi="仿宋_GB2312" w:eastAsia="仿宋_GB2312" w:cs="仿宋_GB2312"/>
          <w:color w:val="FF0000"/>
          <w:szCs w:val="32"/>
        </w:rPr>
        <w:t>2.4履约保证金由甲方开具收据给乙方，货款由甲方开具专票给乙方。履约保证金在乙方完全履行协议义务且双方完成最终结算后10个工作日内，由甲方无息返还；甲方有权从履约保证金中直接抵扣违约金、赔偿金、应付款等，不足部分乙方须在3个工作日内补足。</w:t>
      </w:r>
    </w:p>
    <w:p w14:paraId="0E559973">
      <w:pPr>
        <w:widowControl/>
        <w:shd w:val="clear" w:color="auto" w:fill="FFFFFF"/>
        <w:spacing w:line="560" w:lineRule="exact"/>
        <w:ind w:firstLine="643" w:firstLineChars="200"/>
        <w:jc w:val="left"/>
        <w:rPr>
          <w:rFonts w:hint="eastAsia" w:ascii="仿宋_GB2312" w:hAnsi="仿宋_GB2312" w:eastAsia="仿宋_GB2312" w:cs="仿宋_GB2312"/>
          <w:b/>
          <w:bCs/>
          <w:color w:val="000000"/>
          <w:kern w:val="0"/>
          <w:szCs w:val="32"/>
        </w:rPr>
      </w:pPr>
      <w:r>
        <w:rPr>
          <w:rFonts w:hint="eastAsia" w:ascii="仿宋_GB2312" w:hAnsi="仿宋_GB2312" w:eastAsia="仿宋_GB2312" w:cs="仿宋_GB2312"/>
          <w:b/>
          <w:bCs/>
          <w:color w:val="000000"/>
          <w:kern w:val="0"/>
          <w:szCs w:val="32"/>
        </w:rPr>
        <w:t>三、提货地点：</w:t>
      </w:r>
    </w:p>
    <w:p w14:paraId="7812DCAA">
      <w:pPr>
        <w:widowControl/>
        <w:shd w:val="clear" w:color="auto" w:fill="FFFFFF"/>
        <w:spacing w:line="560" w:lineRule="exact"/>
        <w:ind w:firstLine="640" w:firstLineChars="200"/>
        <w:jc w:val="left"/>
        <w:rPr>
          <w:rFonts w:hint="eastAsia" w:ascii="仿宋_GB2312" w:hAnsi="仿宋_GB2312" w:eastAsia="仿宋" w:cs="仿宋_GB2312"/>
          <w:color w:val="000000"/>
          <w:kern w:val="0"/>
          <w:szCs w:val="32"/>
        </w:rPr>
      </w:pPr>
      <w:r>
        <w:rPr>
          <w:rFonts w:hint="eastAsia" w:ascii="仿宋_GB2312" w:hAnsi="仿宋_GB2312" w:eastAsia="仿宋_GB2312" w:cs="仿宋_GB2312"/>
          <w:color w:val="000000"/>
          <w:kern w:val="0"/>
          <w:szCs w:val="32"/>
        </w:rPr>
        <w:t>位于九矿项目三矿段内，具体位置由宁波市雄镇投资集团有限公司指定。</w:t>
      </w:r>
    </w:p>
    <w:p w14:paraId="00D781C1">
      <w:pPr>
        <w:widowControl/>
        <w:shd w:val="clear" w:color="auto" w:fill="FFFFFF"/>
        <w:spacing w:line="560" w:lineRule="exact"/>
        <w:ind w:firstLine="643" w:firstLineChars="200"/>
        <w:jc w:val="left"/>
        <w:rPr>
          <w:rFonts w:hint="eastAsia" w:ascii="仿宋_GB2312" w:hAnsi="仿宋_GB2312" w:eastAsia="仿宋_GB2312" w:cs="仿宋_GB2312"/>
          <w:b/>
          <w:bCs/>
          <w:color w:val="000000"/>
          <w:kern w:val="0"/>
          <w:szCs w:val="32"/>
        </w:rPr>
      </w:pPr>
      <w:r>
        <w:rPr>
          <w:rFonts w:hint="eastAsia" w:ascii="仿宋_GB2312" w:hAnsi="仿宋_GB2312" w:eastAsia="仿宋_GB2312" w:cs="仿宋_GB2312"/>
          <w:b/>
          <w:bCs/>
          <w:color w:val="000000"/>
          <w:kern w:val="0"/>
          <w:szCs w:val="32"/>
        </w:rPr>
        <w:t>四、提货相关事项约定：</w:t>
      </w:r>
    </w:p>
    <w:p w14:paraId="6D97D21F">
      <w:pPr>
        <w:widowControl/>
        <w:shd w:val="clear" w:color="auto" w:fill="FFFFFF"/>
        <w:spacing w:line="560" w:lineRule="exact"/>
        <w:ind w:firstLine="640" w:firstLineChars="200"/>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4.1土石混合料装车、运输、场地保洁、卸货、保险等其他所有费用均由乙方承担。乙方运输车辆及土石混合料运输过程中必须符合道路、交通管理部门的要求，装载量严格按照《浙江省公路条例》、《超限运输车辆行驶公路管理规定》等规定执行。</w:t>
      </w:r>
    </w:p>
    <w:p w14:paraId="4657A563">
      <w:pPr>
        <w:widowControl/>
        <w:shd w:val="clear" w:color="auto" w:fill="FFFFFF"/>
        <w:spacing w:line="560" w:lineRule="exact"/>
        <w:ind w:firstLine="640" w:firstLineChars="200"/>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4.2乙方应充分考虑现有道路条件，</w:t>
      </w:r>
      <w:r>
        <w:rPr>
          <w:rFonts w:hint="eastAsia" w:ascii="仿宋_GB2312" w:hAnsi="仿宋_GB2312" w:eastAsia="仿宋_GB2312" w:cs="仿宋_GB2312"/>
          <w:color w:val="FF0000"/>
          <w:kern w:val="0"/>
          <w:szCs w:val="32"/>
        </w:rPr>
        <w:t>原则上走专用道路至九龙大道</w:t>
      </w:r>
      <w:r>
        <w:rPr>
          <w:rFonts w:hint="eastAsia" w:ascii="仿宋_GB2312" w:hAnsi="仿宋_GB2312" w:eastAsia="仿宋_GB2312" w:cs="仿宋_GB2312"/>
          <w:color w:val="000000"/>
          <w:kern w:val="0"/>
          <w:szCs w:val="32"/>
        </w:rPr>
        <w:t>，合理配置运输车辆，并承担可能存在的运输车辆调整或者现有道路加固造成的影响（现有道路条件指：现有道路的等级、质量状况以及运输途中周边村庄的影响、交通管制影响等条件），并做好场内道路保洁和文明现场施工。</w:t>
      </w:r>
    </w:p>
    <w:p w14:paraId="02A765C6">
      <w:pPr>
        <w:widowControl/>
        <w:shd w:val="clear" w:color="auto" w:fill="FFFFFF"/>
        <w:spacing w:line="560" w:lineRule="exact"/>
        <w:ind w:firstLine="640" w:firstLineChars="200"/>
        <w:jc w:val="left"/>
        <w:rPr>
          <w:rFonts w:hint="eastAsia" w:ascii="仿宋" w:hAnsi="仿宋" w:eastAsia="仿宋" w:cs="仿宋"/>
          <w:kern w:val="0"/>
          <w:szCs w:val="32"/>
        </w:rPr>
      </w:pPr>
      <w:r>
        <w:rPr>
          <w:rFonts w:hint="eastAsia" w:ascii="仿宋_GB2312" w:hAnsi="仿宋_GB2312" w:eastAsia="仿宋_GB2312" w:cs="仿宋_GB2312"/>
          <w:color w:val="000000"/>
          <w:kern w:val="0"/>
          <w:szCs w:val="32"/>
        </w:rPr>
        <w:t>4.3土石混合料的品种、质地等以实物现状为准，其市场价值、使用价值、品质好坏及任何瑕疵等甲方均不作保证，相关风险由乙方自行承担，协议单价不以土石混合料数量、品质以及齐全性、使用性等差异调整。</w:t>
      </w:r>
    </w:p>
    <w:p w14:paraId="1D2DAB38">
      <w:pPr>
        <w:widowControl/>
        <w:shd w:val="clear" w:color="auto" w:fill="FFFFFF"/>
        <w:spacing w:line="560" w:lineRule="exact"/>
        <w:ind w:firstLine="640" w:firstLineChars="200"/>
        <w:jc w:val="left"/>
        <w:rPr>
          <w:rFonts w:hint="eastAsia" w:ascii="仿宋_GB2312" w:hAnsi="仿宋_GB2312" w:eastAsia="仿宋_GB2312" w:cs="仿宋_GB2312"/>
          <w:kern w:val="0"/>
          <w:szCs w:val="32"/>
        </w:rPr>
      </w:pPr>
      <w:r>
        <w:rPr>
          <w:rFonts w:hint="eastAsia" w:ascii="仿宋_GB2312" w:hAnsi="仿宋_GB2312" w:eastAsia="仿宋_GB2312" w:cs="仿宋_GB2312"/>
          <w:kern w:val="0"/>
          <w:szCs w:val="32"/>
        </w:rPr>
        <w:t>4.4甲方提前3日通知乙方进场提货，乙方需无条件接受甲方的安排。</w:t>
      </w:r>
    </w:p>
    <w:p w14:paraId="237B80FB">
      <w:pPr>
        <w:widowControl/>
        <w:shd w:val="clear" w:color="auto" w:fill="FFFFFF"/>
        <w:spacing w:line="560" w:lineRule="exact"/>
        <w:ind w:firstLine="640" w:firstLineChars="200"/>
        <w:jc w:val="left"/>
        <w:rPr>
          <w:rFonts w:hint="eastAsia" w:ascii="仿宋_GB2312" w:hAnsi="仿宋_GB2312" w:eastAsia="仿宋_GB2312" w:cs="仿宋_GB2312"/>
          <w:kern w:val="0"/>
          <w:szCs w:val="32"/>
        </w:rPr>
      </w:pPr>
      <w:r>
        <w:rPr>
          <w:rFonts w:hint="eastAsia" w:ascii="仿宋_GB2312" w:hAnsi="仿宋_GB2312" w:eastAsia="仿宋_GB2312" w:cs="仿宋_GB2312"/>
          <w:kern w:val="0"/>
          <w:szCs w:val="32"/>
        </w:rPr>
        <w:t xml:space="preserve">4.5 </w:t>
      </w:r>
      <w:r>
        <w:rPr>
          <w:rFonts w:hint="eastAsia" w:ascii="仿宋_GB2312" w:hAnsi="仿宋_GB2312" w:eastAsia="仿宋_GB2312" w:cs="仿宋_GB2312"/>
          <w:color w:val="FF0000"/>
          <w:kern w:val="0"/>
          <w:szCs w:val="32"/>
        </w:rPr>
        <w:t>专用道路的桥梁</w:t>
      </w:r>
      <w:r>
        <w:rPr>
          <w:rFonts w:hint="eastAsia" w:ascii="仿宋_GB2312" w:hAnsi="仿宋_GB2312" w:eastAsia="仿宋_GB2312" w:cs="仿宋_GB2312"/>
          <w:kern w:val="0"/>
          <w:szCs w:val="32"/>
        </w:rPr>
        <w:t>限重65吨，乙方安排的车辆应符合要求。</w:t>
      </w:r>
    </w:p>
    <w:p w14:paraId="74173C81">
      <w:pPr>
        <w:widowControl/>
        <w:shd w:val="clear" w:color="auto" w:fill="FFFFFF"/>
        <w:spacing w:line="560" w:lineRule="exact"/>
        <w:ind w:firstLine="640" w:firstLineChars="200"/>
        <w:jc w:val="left"/>
        <w:rPr>
          <w:rFonts w:hint="eastAsia" w:ascii="仿宋_GB2312" w:hAnsi="仿宋_GB2312" w:eastAsia="仿宋_GB2312" w:cs="仿宋_GB2312"/>
          <w:color w:val="FF0000"/>
          <w:kern w:val="0"/>
          <w:szCs w:val="32"/>
        </w:rPr>
      </w:pPr>
      <w:r>
        <w:rPr>
          <w:rFonts w:hint="eastAsia" w:ascii="仿宋_GB2312" w:hAnsi="仿宋_GB2312" w:eastAsia="仿宋_GB2312" w:cs="仿宋_GB2312"/>
          <w:color w:val="FF0000"/>
          <w:kern w:val="0"/>
          <w:szCs w:val="32"/>
        </w:rPr>
        <w:t>4.6乙方不得自行安排机械进场进行解小、筛分、开采作业。</w:t>
      </w:r>
    </w:p>
    <w:p w14:paraId="0538FFF6">
      <w:pPr>
        <w:widowControl/>
        <w:shd w:val="clear" w:color="auto" w:fill="FFFFFF"/>
        <w:spacing w:line="560" w:lineRule="exact"/>
        <w:ind w:firstLine="640" w:firstLineChars="200"/>
        <w:jc w:val="left"/>
        <w:rPr>
          <w:rFonts w:ascii="仿宋_GB2312" w:hAnsi="仿宋_GB2312" w:eastAsia="仿宋_GB2312" w:cs="仿宋_GB2312"/>
          <w:color w:val="FF0000"/>
          <w:kern w:val="0"/>
          <w:szCs w:val="32"/>
        </w:rPr>
      </w:pPr>
      <w:r>
        <w:rPr>
          <w:rFonts w:hint="eastAsia" w:ascii="仿宋_GB2312" w:hAnsi="仿宋_GB2312" w:eastAsia="仿宋_GB2312" w:cs="仿宋_GB2312"/>
          <w:color w:val="FF0000"/>
          <w:kern w:val="0"/>
          <w:szCs w:val="32"/>
        </w:rPr>
        <w:t>4.7 乙方进场所有车辆必须服从甲方统一指挥，严格遵守现场管理规定。爆破作业期间，乙方车辆进场时间、行驶路线必须按甲方指令执行，严禁闯入警戒区域。</w:t>
      </w:r>
    </w:p>
    <w:p w14:paraId="65B350FC">
      <w:pPr>
        <w:widowControl/>
        <w:shd w:val="clear" w:color="auto" w:fill="FFFFFF"/>
        <w:spacing w:line="560" w:lineRule="exact"/>
        <w:ind w:firstLine="640" w:firstLineChars="200"/>
        <w:jc w:val="left"/>
        <w:rPr>
          <w:rFonts w:hint="eastAsia" w:ascii="仿宋_GB2312" w:hAnsi="仿宋_GB2312" w:eastAsia="仿宋_GB2312" w:cs="仿宋_GB2312"/>
          <w:color w:val="FF0000"/>
          <w:kern w:val="0"/>
          <w:szCs w:val="32"/>
        </w:rPr>
      </w:pPr>
      <w:r>
        <w:rPr>
          <w:rFonts w:hint="eastAsia" w:ascii="仿宋_GB2312" w:hAnsi="仿宋_GB2312" w:eastAsia="仿宋_GB2312" w:cs="仿宋_GB2312"/>
          <w:color w:val="FF0000"/>
          <w:kern w:val="0"/>
          <w:szCs w:val="32"/>
        </w:rPr>
        <w:t>五、违约责任</w:t>
      </w:r>
    </w:p>
    <w:p w14:paraId="1E4B8002">
      <w:pPr>
        <w:widowControl/>
        <w:shd w:val="clear" w:color="auto" w:fill="FFFFFF"/>
        <w:spacing w:line="560" w:lineRule="exact"/>
        <w:ind w:firstLine="640" w:firstLineChars="200"/>
        <w:jc w:val="left"/>
        <w:rPr>
          <w:rFonts w:hint="eastAsia" w:ascii="仿宋_GB2312" w:hAnsi="仿宋_GB2312" w:eastAsia="仿宋_GB2312" w:cs="仿宋_GB2312"/>
          <w:color w:val="FF0000"/>
          <w:kern w:val="0"/>
          <w:szCs w:val="32"/>
        </w:rPr>
      </w:pPr>
      <w:r>
        <w:rPr>
          <w:rFonts w:hint="eastAsia" w:ascii="仿宋_GB2312" w:hAnsi="仿宋_GB2312" w:eastAsia="仿宋_GB2312" w:cs="仿宋_GB2312"/>
          <w:color w:val="000000"/>
          <w:kern w:val="0"/>
          <w:szCs w:val="32"/>
        </w:rPr>
        <w:t>5.1协议签订前</w:t>
      </w:r>
      <w:r>
        <w:rPr>
          <w:rFonts w:hint="eastAsia" w:ascii="仿宋_GB2312" w:hAnsi="仿宋_GB2312" w:eastAsia="仿宋_GB2312" w:cs="仿宋_GB2312"/>
          <w:kern w:val="0"/>
          <w:szCs w:val="32"/>
        </w:rPr>
        <w:t>，乙方应缴纳足额的履约保证金。乙方</w:t>
      </w:r>
      <w:r>
        <w:rPr>
          <w:rFonts w:hint="eastAsia" w:ascii="仿宋_GB2312" w:hAnsi="仿宋_GB2312" w:eastAsia="仿宋_GB2312" w:cs="仿宋_GB2312"/>
          <w:color w:val="FF0000"/>
          <w:kern w:val="0"/>
          <w:szCs w:val="32"/>
        </w:rPr>
        <w:t>必须无条件按甲方下发的《周计划》提货，若未及时全部装货则视为乙方违约，并承担相应违约责任。逾期一天从履约保证金中扣除5000元，累计逾期超过10天的，甲方有权单方面终止协议。提货截止时间</w:t>
      </w:r>
      <w:r>
        <w:rPr>
          <w:rFonts w:hint="eastAsia" w:ascii="仿宋_GB2312" w:hAnsi="仿宋_GB2312" w:eastAsia="仿宋_GB2312" w:cs="仿宋_GB2312"/>
          <w:color w:val="FF0000"/>
          <w:kern w:val="0"/>
          <w:szCs w:val="32"/>
          <w:highlight w:val="none"/>
        </w:rPr>
        <w:t>为2026年</w:t>
      </w:r>
      <w:r>
        <w:rPr>
          <w:rFonts w:hint="eastAsia" w:ascii="仿宋_GB2312" w:hAnsi="仿宋_GB2312" w:eastAsia="仿宋_GB2312" w:cs="仿宋_GB2312"/>
          <w:color w:val="FF0000"/>
          <w:kern w:val="0"/>
          <w:szCs w:val="32"/>
          <w:highlight w:val="none"/>
          <w:lang w:val="en-US" w:eastAsia="zh-CN"/>
        </w:rPr>
        <w:t>8月15日</w:t>
      </w:r>
      <w:r>
        <w:rPr>
          <w:rFonts w:hint="eastAsia" w:ascii="仿宋_GB2312" w:hAnsi="仿宋_GB2312" w:eastAsia="仿宋_GB2312" w:cs="仿宋_GB2312"/>
          <w:color w:val="FF0000"/>
          <w:kern w:val="0"/>
          <w:szCs w:val="32"/>
          <w:highlight w:val="none"/>
        </w:rPr>
        <w:t>，到</w:t>
      </w:r>
      <w:r>
        <w:rPr>
          <w:rFonts w:hint="eastAsia" w:ascii="仿宋_GB2312" w:hAnsi="仿宋_GB2312" w:eastAsia="仿宋_GB2312" w:cs="仿宋_GB2312"/>
          <w:color w:val="FF0000"/>
          <w:kern w:val="0"/>
          <w:szCs w:val="32"/>
        </w:rPr>
        <w:t>期后，协议自动终止，若乙方未按约定完成提货，则扣除全部履约保证金。剩余的土石混合料由甲方收回，重新处置，并且乙方不得参与。乙方在收到协议终止通知后（通知签收之日或快递送达之日起算）10日内与甲方办理土石混合料预付货款已销售部分货款的结算以及剩余货款退还手续。</w:t>
      </w:r>
    </w:p>
    <w:p w14:paraId="292060C5">
      <w:pPr>
        <w:widowControl/>
        <w:shd w:val="clear" w:color="auto" w:fill="FFFFFF"/>
        <w:spacing w:line="560" w:lineRule="exact"/>
        <w:ind w:firstLine="640" w:firstLineChars="200"/>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5.2未及时足额缴纳预付货款视为乙方违约，并承担相应的违约责任。若乙方逾期累计超过5天的，甲方有权单方面终止协议，履约保证金不予退还，未运输完的土石混合料由甲方收回，重新处置，并且乙方不得参与。</w:t>
      </w:r>
    </w:p>
    <w:p w14:paraId="0F8C921A">
      <w:pPr>
        <w:widowControl/>
        <w:shd w:val="clear" w:color="auto" w:fill="FFFFFF"/>
        <w:spacing w:line="560" w:lineRule="exact"/>
        <w:ind w:firstLine="640" w:firstLineChars="200"/>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5.3因乙方违约，甲方为实现债权而支付的律师费、担保费、公证费和差旅费等费用均由乙方承担。</w:t>
      </w:r>
    </w:p>
    <w:p w14:paraId="5286A662">
      <w:pPr>
        <w:widowControl/>
        <w:shd w:val="clear" w:color="auto" w:fill="FFFFFF"/>
        <w:spacing w:line="560" w:lineRule="exact"/>
        <w:ind w:firstLine="640" w:firstLineChars="200"/>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5.4如因甲方需求，要求乙方终止协议的，甲方不承担违约责任。</w:t>
      </w:r>
    </w:p>
    <w:p w14:paraId="2DC46BDC">
      <w:pPr>
        <w:widowControl/>
        <w:shd w:val="clear" w:color="auto" w:fill="FFFFFF"/>
        <w:spacing w:line="560" w:lineRule="exact"/>
        <w:ind w:firstLine="640" w:firstLineChars="200"/>
        <w:jc w:val="left"/>
        <w:rPr>
          <w:rFonts w:hint="eastAsia" w:ascii="仿宋_GB2312" w:hAnsi="仿宋_GB2312" w:eastAsia="仿宋_GB2312" w:cs="仿宋_GB2312"/>
          <w:kern w:val="0"/>
          <w:szCs w:val="32"/>
        </w:rPr>
      </w:pPr>
      <w:r>
        <w:rPr>
          <w:rFonts w:hint="eastAsia" w:ascii="仿宋_GB2312" w:hAnsi="仿宋_GB2312" w:eastAsia="仿宋_GB2312" w:cs="仿宋_GB2312"/>
          <w:kern w:val="0"/>
          <w:szCs w:val="32"/>
        </w:rPr>
        <w:t>5.5乙方进入现场后必须遵守甲方土石混合料销售管理规定，服从甲方管理。如乙方未到甲方指定磅站过磅私自外运的，每发现一次，乙方需向甲方支付违约金2万元/车。</w:t>
      </w:r>
    </w:p>
    <w:p w14:paraId="0DEA7DC2">
      <w:pPr>
        <w:widowControl/>
        <w:shd w:val="clear" w:color="auto" w:fill="FFFFFF"/>
        <w:spacing w:line="560" w:lineRule="exact"/>
        <w:ind w:firstLine="643" w:firstLineChars="200"/>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b/>
          <w:color w:val="000000"/>
          <w:kern w:val="0"/>
          <w:szCs w:val="32"/>
        </w:rPr>
        <w:t>六、</w:t>
      </w:r>
      <w:r>
        <w:rPr>
          <w:rFonts w:hint="eastAsia" w:ascii="仿宋_GB2312" w:hAnsi="仿宋_GB2312" w:eastAsia="仿宋_GB2312" w:cs="仿宋_GB2312"/>
          <w:color w:val="000000"/>
          <w:kern w:val="0"/>
          <w:szCs w:val="32"/>
        </w:rPr>
        <w:t>本协议未尽事宜，双方协商解决，若协商不成的，提交宁波市镇海区人民法院诉讼解决。</w:t>
      </w:r>
    </w:p>
    <w:p w14:paraId="4596A910">
      <w:pPr>
        <w:widowControl/>
        <w:shd w:val="clear" w:color="auto" w:fill="FFFFFF"/>
        <w:spacing w:line="560" w:lineRule="exact"/>
        <w:ind w:firstLine="643" w:firstLineChars="200"/>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b/>
          <w:color w:val="000000"/>
          <w:kern w:val="0"/>
          <w:szCs w:val="32"/>
        </w:rPr>
        <w:t>七、</w:t>
      </w:r>
      <w:r>
        <w:rPr>
          <w:rFonts w:hint="eastAsia" w:ascii="仿宋_GB2312" w:hAnsi="仿宋_GB2312" w:eastAsia="仿宋_GB2312" w:cs="仿宋_GB2312"/>
          <w:color w:val="000000"/>
          <w:kern w:val="0"/>
          <w:szCs w:val="32"/>
        </w:rPr>
        <w:t>本协议共一式肆份，甲、乙共同签字盖章并由乙方足额支付履约保证金后生效。</w:t>
      </w:r>
    </w:p>
    <w:p w14:paraId="7D8D8EE3">
      <w:pPr>
        <w:widowControl/>
        <w:shd w:val="clear" w:color="auto" w:fill="FFFFFF"/>
        <w:spacing w:line="560" w:lineRule="exact"/>
        <w:ind w:firstLine="640" w:firstLineChars="200"/>
        <w:jc w:val="left"/>
        <w:rPr>
          <w:rFonts w:hint="eastAsia" w:ascii="仿宋_GB2312" w:hAnsi="仿宋_GB2312" w:eastAsia="仿宋_GB2312" w:cs="仿宋_GB2312"/>
          <w:color w:val="000000"/>
          <w:kern w:val="0"/>
          <w:szCs w:val="32"/>
        </w:rPr>
      </w:pPr>
    </w:p>
    <w:tbl>
      <w:tblPr>
        <w:tblStyle w:val="3"/>
        <w:tblpPr w:leftFromText="180" w:rightFromText="180" w:vertAnchor="text" w:horzAnchor="page" w:tblpX="1637" w:tblpY="32"/>
        <w:tblOverlap w:val="never"/>
        <w:tblW w:w="0" w:type="auto"/>
        <w:tblInd w:w="0" w:type="dxa"/>
        <w:tblLayout w:type="fixed"/>
        <w:tblCellMar>
          <w:top w:w="0" w:type="dxa"/>
          <w:left w:w="108" w:type="dxa"/>
          <w:bottom w:w="0" w:type="dxa"/>
          <w:right w:w="108" w:type="dxa"/>
        </w:tblCellMar>
      </w:tblPr>
      <w:tblGrid>
        <w:gridCol w:w="4499"/>
        <w:gridCol w:w="4500"/>
      </w:tblGrid>
      <w:tr w14:paraId="789B10E5">
        <w:tblPrEx>
          <w:tblCellMar>
            <w:top w:w="0" w:type="dxa"/>
            <w:left w:w="108" w:type="dxa"/>
            <w:bottom w:w="0" w:type="dxa"/>
            <w:right w:w="108" w:type="dxa"/>
          </w:tblCellMar>
        </w:tblPrEx>
        <w:trPr>
          <w:trHeight w:val="2540" w:hRule="atLeast"/>
        </w:trPr>
        <w:tc>
          <w:tcPr>
            <w:tcW w:w="4499" w:type="dxa"/>
            <w:noWrap w:val="0"/>
            <w:vAlign w:val="top"/>
          </w:tcPr>
          <w:p w14:paraId="31CBE6C4">
            <w:pPr>
              <w:widowControl/>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甲方：</w:t>
            </w:r>
          </w:p>
          <w:p w14:paraId="6179DDE8">
            <w:pPr>
              <w:widowControl/>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法定代表人签字（盖章）：</w:t>
            </w:r>
          </w:p>
          <w:p w14:paraId="6BA1E7C7">
            <w:pPr>
              <w:widowControl/>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 xml:space="preserve">地址： </w:t>
            </w:r>
          </w:p>
          <w:p w14:paraId="17285870">
            <w:pPr>
              <w:widowControl/>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 xml:space="preserve">联系电话：   </w:t>
            </w:r>
          </w:p>
          <w:p w14:paraId="15546649">
            <w:pPr>
              <w:widowControl/>
              <w:spacing w:line="560" w:lineRule="exact"/>
              <w:jc w:val="left"/>
              <w:rPr>
                <w:rFonts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收件地址：</w:t>
            </w:r>
          </w:p>
        </w:tc>
        <w:tc>
          <w:tcPr>
            <w:tcW w:w="4500" w:type="dxa"/>
            <w:noWrap w:val="0"/>
            <w:vAlign w:val="top"/>
          </w:tcPr>
          <w:p w14:paraId="6DAA0C06">
            <w:pPr>
              <w:widowControl/>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乙方：</w:t>
            </w:r>
          </w:p>
          <w:p w14:paraId="2941F6FF">
            <w:pPr>
              <w:widowControl/>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法定代表人签字（盖章）：</w:t>
            </w:r>
          </w:p>
          <w:p w14:paraId="4481124F">
            <w:pPr>
              <w:widowControl/>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 xml:space="preserve">地址： </w:t>
            </w:r>
          </w:p>
          <w:p w14:paraId="6145E3A5">
            <w:pPr>
              <w:widowControl/>
              <w:spacing w:line="560" w:lineRule="exact"/>
              <w:jc w:val="lef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 xml:space="preserve">联系电话：  </w:t>
            </w:r>
          </w:p>
          <w:p w14:paraId="178CB0B1">
            <w:pPr>
              <w:widowControl/>
              <w:spacing w:line="560" w:lineRule="exact"/>
              <w:jc w:val="left"/>
              <w:rPr>
                <w:rFonts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收件地址：</w:t>
            </w:r>
          </w:p>
        </w:tc>
      </w:tr>
    </w:tbl>
    <w:p w14:paraId="1BCAE00A">
      <w:pPr>
        <w:widowControl/>
        <w:shd w:val="clear" w:color="auto" w:fill="FFFFFF"/>
        <w:spacing w:line="560" w:lineRule="exact"/>
        <w:jc w:val="right"/>
        <w:rPr>
          <w:rFonts w:ascii="仿宋_GB2312" w:hAnsi="仿宋_GB2312" w:eastAsia="仿宋_GB2312" w:cs="仿宋_GB2312"/>
          <w:szCs w:val="32"/>
        </w:rPr>
      </w:pPr>
      <w:r>
        <w:rPr>
          <w:rFonts w:hint="eastAsia" w:ascii="仿宋_GB2312" w:hAnsi="仿宋_GB2312" w:eastAsia="仿宋_GB2312" w:cs="仿宋_GB2312"/>
          <w:color w:val="000000"/>
          <w:kern w:val="0"/>
          <w:szCs w:val="32"/>
        </w:rPr>
        <w:t xml:space="preserve">                年      月      日</w:t>
      </w:r>
    </w:p>
    <w:p w14:paraId="4FB9883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00000000000000000"/>
    <w:charset w:val="86"/>
    <w:family w:val="modern"/>
    <w:pitch w:val="default"/>
    <w:sig w:usb0="00000000" w:usb1="00000000" w:usb2="00000000" w:usb3="00000000" w:csb0="00040000" w:csb1="00000000"/>
  </w:font>
  <w:font w:name="方正小标宋简体">
    <w:altName w:val="黑体"/>
    <w:panose1 w:val="02000000000000000000"/>
    <w:charset w:val="86"/>
    <w:family w:val="script"/>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EFFCDC"/>
    <w:multiLevelType w:val="singleLevel"/>
    <w:tmpl w:val="ADEFFCDC"/>
    <w:lvl w:ilvl="0" w:tentative="0">
      <w:start w:val="4"/>
      <w:numFmt w:val="chineseCounting"/>
      <w:suff w:val="nothing"/>
      <w:lvlText w:val="%1、"/>
      <w:lvlJc w:val="left"/>
      <w:rPr>
        <w:rFonts w:hint="eastAsia"/>
      </w:rPr>
    </w:lvl>
  </w:abstractNum>
  <w:abstractNum w:abstractNumId="1">
    <w:nsid w:val="C21AD335"/>
    <w:multiLevelType w:val="singleLevel"/>
    <w:tmpl w:val="C21AD335"/>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E1771B"/>
    <w:rsid w:val="29D94E25"/>
    <w:rsid w:val="50804D38"/>
    <w:rsid w:val="5FBE1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8"/>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character" w:styleId="5">
    <w:name w:val="Hyperlink"/>
    <w:qFormat/>
    <w:uiPriority w:val="0"/>
    <w:rPr>
      <w:color w:val="0000FF"/>
      <w:u w:val="single"/>
    </w:rPr>
  </w:style>
  <w:style w:type="paragraph" w:customStyle="1" w:styleId="6">
    <w:name w:val="目录 32"/>
    <w:next w:val="1"/>
    <w:qFormat/>
    <w:uiPriority w:val="0"/>
    <w:pPr>
      <w:wordWrap w:val="0"/>
      <w:ind w:left="425"/>
      <w:jc w:val="both"/>
    </w:pPr>
    <w:rPr>
      <w:rFonts w:ascii="Times New Roman" w:hAnsi="Times New Roman" w:eastAsia="宋体" w:cs="Times New Roman"/>
      <w:sz w:val="21"/>
      <w:lang w:val="en-US" w:eastAsia="zh-CN" w:bidi="ar-SA"/>
    </w:rPr>
  </w:style>
  <w:style w:type="paragraph" w:styleId="7">
    <w:name w:val="List Paragraph"/>
    <w:basedOn w:val="1"/>
    <w:next w:val="6"/>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5298</Words>
  <Characters>5614</Characters>
  <Lines>0</Lines>
  <Paragraphs>0</Paragraphs>
  <TotalTime>2</TotalTime>
  <ScaleCrop>false</ScaleCrop>
  <LinksUpToDate>false</LinksUpToDate>
  <CharactersWithSpaces>5691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2026-05-15T03:41:00Z</dcterms:created>
  <dc:creator>产权</dc:creator>
  <cp:lastModifiedBy>大象滑滑梯</cp:lastModifiedBy>
  <dcterms:modified xsi:type="dcterms:W3CDTF">2026-06-08T02:24:14Z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eyJoZGlkIjoiYzQ3MzJmODVmNmFlYzI4OWVkNzBmYTBkOTQxYjNlOTEiLCJ1c2VySWQiOiIzNTgyOTgzMzAifQ==</vt:lpwstr>
  </property>
  <property fmtid="{D5CDD505-2E9C-101B-9397-08002B2CF9AE}" pid="4" name="ICV">
    <vt:lpwstr>128FAB2C488B4AA2935323FA754B6FAE_12</vt:lpwstr>
  </property>
</Properties>
</file>